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5AA56" w14:textId="35EF693C" w:rsidR="00916C4B" w:rsidRDefault="00BA6D1C" w:rsidP="00916C4B">
      <w:pPr>
        <w:ind w:left="360"/>
        <w:jc w:val="center"/>
        <w:rPr>
          <w:b/>
          <w:bCs/>
        </w:rPr>
      </w:pPr>
      <w:r w:rsidRPr="00916C4B">
        <w:rPr>
          <w:b/>
        </w:rPr>
        <w:t xml:space="preserve">IZVJEŠTAJ O ZADUŽIVANJU NA DOMAĆEM I STRANOM TRŽIŠTU NOVCA I KAPITALA U </w:t>
      </w:r>
      <w:r w:rsidR="00DF5050">
        <w:rPr>
          <w:b/>
          <w:bCs/>
        </w:rPr>
        <w:t>RAZDOBLJU 01.01.2025</w:t>
      </w:r>
      <w:r w:rsidR="0044652F">
        <w:rPr>
          <w:b/>
          <w:bCs/>
        </w:rPr>
        <w:t>. – 31.12.</w:t>
      </w:r>
      <w:r w:rsidR="00916C4B" w:rsidRPr="00916C4B">
        <w:rPr>
          <w:b/>
          <w:bCs/>
        </w:rPr>
        <w:t>202</w:t>
      </w:r>
      <w:r w:rsidR="00DF5050">
        <w:rPr>
          <w:b/>
          <w:bCs/>
        </w:rPr>
        <w:t>5</w:t>
      </w:r>
      <w:r w:rsidR="0044652F">
        <w:rPr>
          <w:b/>
          <w:bCs/>
        </w:rPr>
        <w:t>.</w:t>
      </w:r>
    </w:p>
    <w:p w14:paraId="53745C9C" w14:textId="77777777" w:rsidR="002F6C54" w:rsidRDefault="002F6C54" w:rsidP="00916C4B">
      <w:pPr>
        <w:ind w:left="360"/>
        <w:jc w:val="center"/>
        <w:rPr>
          <w:szCs w:val="28"/>
        </w:rPr>
      </w:pPr>
    </w:p>
    <w:p w14:paraId="15C24CCE" w14:textId="2ACBCF8A" w:rsidR="00BA6D1C" w:rsidRPr="00916C4B" w:rsidRDefault="00BA6D1C" w:rsidP="00152CB5">
      <w:pPr>
        <w:tabs>
          <w:tab w:val="left" w:pos="0"/>
        </w:tabs>
        <w:spacing w:line="360" w:lineRule="auto"/>
        <w:jc w:val="center"/>
        <w:rPr>
          <w:b/>
        </w:rPr>
      </w:pPr>
    </w:p>
    <w:p w14:paraId="35C755FE" w14:textId="361D2FB1" w:rsidR="00BA6D1C" w:rsidRDefault="00CD4655" w:rsidP="00BF16DE">
      <w:pPr>
        <w:tabs>
          <w:tab w:val="left" w:pos="0"/>
        </w:tabs>
        <w:spacing w:after="240"/>
        <w:jc w:val="both"/>
      </w:pPr>
      <w:r w:rsidRPr="00296D14">
        <w:rPr>
          <w:rFonts w:eastAsia="Calibri"/>
        </w:rPr>
        <w:t xml:space="preserve">Ciljevi i svrha zaduživanja propisani su odredbama Zakona o proračunu, prema kojima je osnovni cilj zaduživanja i upravljanja dugom osiguranje financijskih potreba državnog proračuna postizanjem najnižeg srednjoročnog i dugoročnog troška financiranja uz preuzimanje razboritog stupnja rizika. </w:t>
      </w:r>
    </w:p>
    <w:p w14:paraId="24C8FDC8" w14:textId="6F44AE1E" w:rsidR="00CD4655" w:rsidRDefault="00CD4655" w:rsidP="00787539">
      <w:pPr>
        <w:tabs>
          <w:tab w:val="left" w:pos="0"/>
        </w:tabs>
        <w:spacing w:after="240"/>
        <w:jc w:val="both"/>
        <w:rPr>
          <w:rFonts w:eastAsia="Calibri"/>
        </w:rPr>
      </w:pPr>
      <w:r>
        <w:rPr>
          <w:rFonts w:eastAsia="Calibri"/>
        </w:rPr>
        <w:t xml:space="preserve">U nastavku je prikazan pregled zaduživanja </w:t>
      </w:r>
      <w:r w:rsidR="00787539">
        <w:rPr>
          <w:rFonts w:eastAsia="Calibri"/>
        </w:rPr>
        <w:t>u</w:t>
      </w:r>
      <w:r>
        <w:rPr>
          <w:rFonts w:eastAsia="Calibri"/>
        </w:rPr>
        <w:t xml:space="preserve"> 2025. godine, koje se odvijalo u skladu s potrebama utvrđenih državnim proračunom. U provedbi zaduživanja vodilo se računa o postizanju najnižeg srednjoročnog i dugoročnog troška financiranja te preuzimanju razboritog stupnja rizika, što se povoljno odrazilo na kamatne stope, kreditni rejting i premiju osiguranja od kreditnog rizika.</w:t>
      </w:r>
    </w:p>
    <w:p w14:paraId="44F8C34B" w14:textId="77777777" w:rsidR="00E449DE" w:rsidRPr="00916C4B" w:rsidRDefault="00E449DE" w:rsidP="00BA6D1C">
      <w:pPr>
        <w:pStyle w:val="Uvuenotijeloteksta"/>
        <w:ind w:firstLine="0"/>
      </w:pPr>
    </w:p>
    <w:p w14:paraId="338B05B4" w14:textId="7D4EF06F" w:rsidR="003B3334" w:rsidRPr="00916C4B" w:rsidRDefault="003660FF" w:rsidP="003B3334">
      <w:pPr>
        <w:pStyle w:val="Odlomakpopisa"/>
        <w:numPr>
          <w:ilvl w:val="0"/>
          <w:numId w:val="5"/>
        </w:numPr>
        <w:rPr>
          <w:b/>
          <w:i/>
        </w:rPr>
      </w:pPr>
      <w:r>
        <w:rPr>
          <w:b/>
          <w:i/>
        </w:rPr>
        <w:t>Zaduživanje putem obveznica</w:t>
      </w:r>
      <w:r w:rsidR="003B3334" w:rsidRPr="00916C4B">
        <w:rPr>
          <w:b/>
          <w:i/>
        </w:rPr>
        <w:t xml:space="preserve"> uz plasman na domaćem tržištu kapitala </w:t>
      </w:r>
    </w:p>
    <w:p w14:paraId="7766905F" w14:textId="77777777" w:rsidR="00BB78D1" w:rsidRPr="00916C4B" w:rsidRDefault="00BB78D1" w:rsidP="00BB78D1">
      <w:pPr>
        <w:pStyle w:val="Odlomakpopisa"/>
        <w:rPr>
          <w:b/>
          <w:i/>
        </w:rPr>
      </w:pPr>
    </w:p>
    <w:p w14:paraId="0B1FFD41" w14:textId="77777777" w:rsidR="00DF5050" w:rsidRDefault="00DF5050" w:rsidP="00DF5050">
      <w:pPr>
        <w:jc w:val="both"/>
      </w:pPr>
      <w:r>
        <w:t>U ožujku 2025. godine Republika Hrvatska uspješno je realizirala dva izdanja obveznica na domaćem tržištu kapitala u ukupnom iznosu od 3,00 milijarde eura.</w:t>
      </w:r>
    </w:p>
    <w:p w14:paraId="65434C9A" w14:textId="08C1660B" w:rsidR="00DF5050" w:rsidRDefault="00110164" w:rsidP="00DF5050">
      <w:pPr>
        <w:jc w:val="both"/>
      </w:pPr>
      <w:r>
        <w:t>Slijedom izraženog interesa fizičkih osoba za ulaganje u državne obveznice na domaćem tržištu kapitala u prethodna dva izdanja</w:t>
      </w:r>
      <w:r w:rsidR="00DF5050">
        <w:t>, Republika Hrvatska, zastupana po Ministarstvu financija, realizirala je novo izdanje i u 2025. godini. Ovaj put se radilo o dvogodišnjim obveznicama uz plasman na domaćem tržištu kapitala. Izdane su u iznosu od 1,75</w:t>
      </w:r>
      <w:r w:rsidR="00DF5050" w:rsidRPr="006356DA">
        <w:t xml:space="preserve"> </w:t>
      </w:r>
      <w:r w:rsidR="00DF5050">
        <w:t>milijardi</w:t>
      </w:r>
      <w:r w:rsidR="00DF5050" w:rsidRPr="006356DA">
        <w:t xml:space="preserve"> </w:t>
      </w:r>
      <w:r w:rsidR="00DF5050">
        <w:t>eura uz cijenu od 100,000% nominalnog iznosa i nepromjenjivu godišnju kamatnu stopu od 2,65%. Kamatni kupon će se isplaćivati jednom godišnje, a glavnica u cijelosti po dospijeću.</w:t>
      </w:r>
    </w:p>
    <w:p w14:paraId="61DE8D4E" w14:textId="77777777" w:rsidR="00DF5050" w:rsidRDefault="00DF5050" w:rsidP="00DF5050">
      <w:pPr>
        <w:jc w:val="both"/>
      </w:pPr>
    </w:p>
    <w:p w14:paraId="31DFCF9D" w14:textId="77777777" w:rsidR="00DF5050" w:rsidRDefault="00DF5050" w:rsidP="00DF5050">
      <w:pPr>
        <w:jc w:val="both"/>
      </w:pPr>
      <w:r w:rsidRPr="006356DA">
        <w:t>Upis obveznica provodio se u dva kruga pri čemu</w:t>
      </w:r>
      <w:r>
        <w:t xml:space="preserve"> je prvi krug bio namijenjen fizičkim osobama</w:t>
      </w:r>
      <w:r w:rsidRPr="006356DA">
        <w:t xml:space="preserve"> (hrvatsk</w:t>
      </w:r>
      <w:r>
        <w:t>i</w:t>
      </w:r>
      <w:r w:rsidRPr="006356DA">
        <w:t xml:space="preserve"> državljan</w:t>
      </w:r>
      <w:r>
        <w:t>i</w:t>
      </w:r>
      <w:r w:rsidRPr="006356DA">
        <w:t xml:space="preserve"> te stran</w:t>
      </w:r>
      <w:r>
        <w:t>i državljani rezidenti u Republici Hrvatskoj), a drugi institucionalnim investitorima</w:t>
      </w:r>
      <w:r w:rsidRPr="006356DA">
        <w:t xml:space="preserve">. Obveznice su uvrštene u usluge </w:t>
      </w:r>
      <w:proofErr w:type="spellStart"/>
      <w:r w:rsidRPr="006356DA">
        <w:t>depozitorija</w:t>
      </w:r>
      <w:proofErr w:type="spellEnd"/>
      <w:r w:rsidRPr="006356DA">
        <w:t>, poravnanja i namire Središnjeg kliri</w:t>
      </w:r>
      <w:r>
        <w:t xml:space="preserve">nškog depozitarnog društva </w:t>
      </w:r>
      <w:r w:rsidRPr="006356DA">
        <w:t>te na Službeno tržište Zagrebačke burze.</w:t>
      </w:r>
      <w:r>
        <w:t xml:space="preserve"> Obveznice su uplaćene 10. ožujka 2025., a dospijeće im je 10. ožujka 2027.</w:t>
      </w:r>
    </w:p>
    <w:p w14:paraId="722C918C" w14:textId="77777777" w:rsidR="00DF5050" w:rsidRDefault="00DF5050" w:rsidP="00DF5050">
      <w:pPr>
        <w:jc w:val="both"/>
      </w:pPr>
    </w:p>
    <w:p w14:paraId="32D8AE0F" w14:textId="77777777" w:rsidR="00DF5050" w:rsidRDefault="00DF5050" w:rsidP="00DF5050">
      <w:pPr>
        <w:spacing w:after="200"/>
        <w:jc w:val="both"/>
      </w:pPr>
      <w:r>
        <w:t xml:space="preserve">Istovremeno, realizirano je još jedno izdanje obveznica, ovaj puta namijenjeno institucionalnim </w:t>
      </w:r>
      <w:proofErr w:type="spellStart"/>
      <w:r>
        <w:t>ulagateljima</w:t>
      </w:r>
      <w:proofErr w:type="spellEnd"/>
      <w:r>
        <w:t xml:space="preserve"> i s dužim rokom dospijeća. Riječ je o obveznici dospijeća 10. ožujka 2030</w:t>
      </w:r>
      <w:r w:rsidRPr="006356DA">
        <w:t xml:space="preserve">. </w:t>
      </w:r>
      <w:r>
        <w:t>god</w:t>
      </w:r>
      <w:r w:rsidRPr="006356DA">
        <w:t>ine u nominalnom iznosu od 1,25 milijardi eura. Navedeno izdanje obveznice re</w:t>
      </w:r>
      <w:r>
        <w:t>alizirano je uz cijenu od 99,770</w:t>
      </w:r>
      <w:r w:rsidRPr="006356DA">
        <w:t xml:space="preserve">% i godišnju kamatnu stopu od </w:t>
      </w:r>
      <w:r>
        <w:t>3,00</w:t>
      </w:r>
      <w:r w:rsidRPr="006356DA">
        <w:t>%</w:t>
      </w:r>
      <w:r>
        <w:t>,</w:t>
      </w:r>
      <w:r w:rsidRPr="00EC4791">
        <w:t xml:space="preserve"> </w:t>
      </w:r>
      <w:r>
        <w:t>što čini prinos do dospijeća od 3,05%</w:t>
      </w:r>
      <w:r w:rsidRPr="006356DA">
        <w:t>.</w:t>
      </w:r>
      <w:r>
        <w:t xml:space="preserve"> Kamatni kupon će se isplaćivati polugodišnje, a glavnica u cijelosti po dospijeću.</w:t>
      </w:r>
    </w:p>
    <w:p w14:paraId="3D9A3537" w14:textId="416AC042" w:rsidR="00DF5050" w:rsidRDefault="00DF5050" w:rsidP="00DF5050">
      <w:pPr>
        <w:jc w:val="both"/>
      </w:pPr>
      <w:r w:rsidRPr="00A365D9">
        <w:t>Sredstva p</w:t>
      </w:r>
      <w:r>
        <w:t>rikupljena ovim izdanji</w:t>
      </w:r>
      <w:r w:rsidRPr="00A365D9">
        <w:t>m</w:t>
      </w:r>
      <w:r>
        <w:t>a, među ostalim</w:t>
      </w:r>
      <w:r w:rsidRPr="00A365D9">
        <w:t xml:space="preserve">, </w:t>
      </w:r>
      <w:r>
        <w:t xml:space="preserve">iskorištena su </w:t>
      </w:r>
      <w:r w:rsidRPr="00A365D9">
        <w:t xml:space="preserve">za </w:t>
      </w:r>
      <w:r>
        <w:t>otplatu</w:t>
      </w:r>
      <w:r w:rsidRPr="00A365D9">
        <w:t xml:space="preserve"> </w:t>
      </w:r>
      <w:r>
        <w:t xml:space="preserve">dviju </w:t>
      </w:r>
      <w:r w:rsidRPr="00A365D9">
        <w:t>obveznica Republike Hrvatske</w:t>
      </w:r>
      <w:r>
        <w:t xml:space="preserve">, prve u iznosu od 664,00 milijuna eura izdane 2020. godine uz kamatni kupon od 0,25%, te druge u iznosu od 1,85 milijardi eura izdane 2023. godine uz kamatni kupon od 3,65%. Iste su </w:t>
      </w:r>
      <w:r w:rsidRPr="00A365D9">
        <w:t xml:space="preserve">dospjele i isplaćene u </w:t>
      </w:r>
      <w:r>
        <w:t>ožujku 2025</w:t>
      </w:r>
      <w:r w:rsidRPr="00A365D9">
        <w:t>. godine.</w:t>
      </w:r>
    </w:p>
    <w:p w14:paraId="5FF8488F" w14:textId="77777777" w:rsidR="00DF5050" w:rsidRDefault="00DF5050" w:rsidP="00DF5050">
      <w:pPr>
        <w:jc w:val="both"/>
      </w:pPr>
    </w:p>
    <w:p w14:paraId="53047E06" w14:textId="77777777" w:rsidR="00DF5050" w:rsidRDefault="00DF5050" w:rsidP="00DF5050">
      <w:pPr>
        <w:jc w:val="both"/>
      </w:pPr>
      <w:r>
        <w:t>Posljednje izdanje u promatranom razdoblju realizirano je u srpnju 2025. godine, uz plasman u iznosu od 1,00 milijarde eura. Obveznice su izdane s rokom dospijeća od deset godina, uz cijenu od 98,637% i godišnji kamatni kupon od 3,00%, pri čemu prinos do dospijeća iznosi 3,16%. Kamatni kupon isplaćivat će se polugodišnje, a glavnica u cijelosti po dospijeću, 4. srpnja 2035. godine.</w:t>
      </w:r>
    </w:p>
    <w:p w14:paraId="6E63917B" w14:textId="77777777" w:rsidR="00DF5050" w:rsidRDefault="00DF5050" w:rsidP="00DF5050">
      <w:pPr>
        <w:jc w:val="both"/>
      </w:pPr>
    </w:p>
    <w:p w14:paraId="7CD10BB3" w14:textId="7B22FC6A" w:rsidR="00DF5050" w:rsidRPr="00A365D9" w:rsidRDefault="00DF5050" w:rsidP="00DF5050">
      <w:pPr>
        <w:jc w:val="both"/>
      </w:pPr>
      <w:r>
        <w:lastRenderedPageBreak/>
        <w:t>Prikupljena sredstva dijelom su iskorištena za otplatu desetogodišnje obveznice, u iznosu od 796 milijuna eura</w:t>
      </w:r>
      <w:r w:rsidR="00EA364A">
        <w:t>, uz</w:t>
      </w:r>
      <w:r w:rsidR="00A732D9">
        <w:t xml:space="preserve"> kamatni kupon od 4,50%</w:t>
      </w:r>
      <w:r>
        <w:t xml:space="preserve">, </w:t>
      </w:r>
      <w:r w:rsidR="00EA364A">
        <w:t xml:space="preserve">a </w:t>
      </w:r>
      <w:r>
        <w:t>koja je dospjela i u cijelosti isplaćena u srpnju 2025. godine.</w:t>
      </w:r>
    </w:p>
    <w:p w14:paraId="39505154" w14:textId="11D5B7A1" w:rsidR="00C22DD4" w:rsidRDefault="00C22DD4" w:rsidP="00C22DD4">
      <w:pPr>
        <w:jc w:val="both"/>
      </w:pPr>
      <w:r w:rsidRPr="00A85202">
        <w:t>U tablici 1. dan je se prikaz aktivnih obveznica izdanih na domaćem tržištu kapitala. Uz svaku pojedinačnu seriju obveznice naznačen je datum izdavanja, valuta i iznos izdanja te godišnja kamatna stopa i datum dospijeća otplate.</w:t>
      </w:r>
      <w:r>
        <w:t xml:space="preserve"> </w:t>
      </w:r>
    </w:p>
    <w:p w14:paraId="594CC5AD" w14:textId="77777777" w:rsidR="00C22DD4" w:rsidRDefault="00C22DD4" w:rsidP="00C22DD4">
      <w:pPr>
        <w:jc w:val="both"/>
        <w:rPr>
          <w:i/>
        </w:rPr>
      </w:pPr>
    </w:p>
    <w:p w14:paraId="163E09E4" w14:textId="60147711" w:rsidR="00C22DD4" w:rsidRDefault="00C22DD4" w:rsidP="00C22DD4">
      <w:pPr>
        <w:jc w:val="both"/>
        <w:rPr>
          <w:i/>
        </w:rPr>
      </w:pPr>
      <w:r w:rsidRPr="00A85202">
        <w:rPr>
          <w:i/>
        </w:rPr>
        <w:t>Tablica 1. Pregled aktivnih domaćih obveznica Republike Hrvatske, 31.</w:t>
      </w:r>
      <w:r>
        <w:rPr>
          <w:i/>
        </w:rPr>
        <w:t xml:space="preserve"> </w:t>
      </w:r>
      <w:r w:rsidRPr="00A85202">
        <w:rPr>
          <w:i/>
        </w:rPr>
        <w:t>prosinca 202</w:t>
      </w:r>
      <w:r w:rsidR="00DF5050">
        <w:rPr>
          <w:i/>
        </w:rPr>
        <w:t>5</w:t>
      </w:r>
      <w:r w:rsidRPr="00A85202">
        <w:rPr>
          <w:i/>
        </w:rPr>
        <w:t>.</w:t>
      </w:r>
    </w:p>
    <w:p w14:paraId="650E31D7" w14:textId="77777777" w:rsidR="00C22DD4" w:rsidRDefault="00C22DD4" w:rsidP="00C22DD4">
      <w:pPr>
        <w:jc w:val="both"/>
        <w:rPr>
          <w:i/>
        </w:rPr>
      </w:pPr>
    </w:p>
    <w:p w14:paraId="6C9ADFEB" w14:textId="4ED849E3" w:rsidR="00C22DD4" w:rsidRDefault="00EC5EF1" w:rsidP="00C22DD4">
      <w:pPr>
        <w:jc w:val="both"/>
        <w:rPr>
          <w:i/>
        </w:rPr>
      </w:pPr>
      <w:r w:rsidRPr="00EC5EF1">
        <w:rPr>
          <w:noProof/>
        </w:rPr>
        <w:drawing>
          <wp:inline distT="0" distB="0" distL="0" distR="0" wp14:anchorId="19F82FEB" wp14:editId="3E11E057">
            <wp:extent cx="5495925" cy="3800475"/>
            <wp:effectExtent l="0" t="0" r="9525"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5925" cy="3800475"/>
                    </a:xfrm>
                    <a:prstGeom prst="rect">
                      <a:avLst/>
                    </a:prstGeom>
                    <a:noFill/>
                    <a:ln>
                      <a:noFill/>
                    </a:ln>
                  </pic:spPr>
                </pic:pic>
              </a:graphicData>
            </a:graphic>
          </wp:inline>
        </w:drawing>
      </w:r>
    </w:p>
    <w:p w14:paraId="1AEEA0B1" w14:textId="77777777" w:rsidR="00DF5050" w:rsidRDefault="00DF5050" w:rsidP="00DF5050">
      <w:pPr>
        <w:jc w:val="both"/>
        <w:rPr>
          <w:i/>
          <w:sz w:val="20"/>
          <w:szCs w:val="20"/>
        </w:rPr>
      </w:pPr>
      <w:r>
        <w:rPr>
          <w:i/>
          <w:sz w:val="20"/>
          <w:szCs w:val="20"/>
        </w:rPr>
        <w:t>*izdanje u HRK</w:t>
      </w:r>
    </w:p>
    <w:p w14:paraId="4F977965" w14:textId="77777777" w:rsidR="00DF5050" w:rsidRDefault="00DF5050" w:rsidP="00DF5050">
      <w:pPr>
        <w:jc w:val="both"/>
        <w:rPr>
          <w:i/>
          <w:sz w:val="20"/>
          <w:szCs w:val="20"/>
        </w:rPr>
      </w:pPr>
      <w:r>
        <w:rPr>
          <w:i/>
          <w:sz w:val="20"/>
          <w:szCs w:val="20"/>
        </w:rPr>
        <w:t>**izdanje u HRK i indeksirano na kretanje tečaja HRK prema EUR</w:t>
      </w:r>
    </w:p>
    <w:p w14:paraId="0C8D19E8" w14:textId="01190265" w:rsidR="00C22DD4" w:rsidRPr="00A85202" w:rsidRDefault="00C22DD4" w:rsidP="00C22DD4">
      <w:pPr>
        <w:jc w:val="both"/>
        <w:rPr>
          <w:i/>
          <w:sz w:val="20"/>
          <w:szCs w:val="20"/>
        </w:rPr>
      </w:pPr>
      <w:r w:rsidRPr="00A85202">
        <w:rPr>
          <w:i/>
          <w:sz w:val="20"/>
          <w:szCs w:val="20"/>
        </w:rPr>
        <w:t>Izvor: Ministarstvo financija</w:t>
      </w:r>
    </w:p>
    <w:p w14:paraId="37B998D6" w14:textId="686FC7F2" w:rsidR="00C22DD4" w:rsidRPr="00A85202" w:rsidRDefault="00C22DD4" w:rsidP="00C22DD4">
      <w:pPr>
        <w:jc w:val="both"/>
        <w:rPr>
          <w:i/>
        </w:rPr>
      </w:pPr>
    </w:p>
    <w:p w14:paraId="6E557241" w14:textId="75A8510B" w:rsidR="00C22DD4" w:rsidRDefault="00C22DD4" w:rsidP="00787539">
      <w:pPr>
        <w:pStyle w:val="Odlomakpopisa"/>
        <w:numPr>
          <w:ilvl w:val="0"/>
          <w:numId w:val="5"/>
        </w:numPr>
        <w:spacing w:before="240"/>
        <w:ind w:left="714" w:hanging="357"/>
        <w:rPr>
          <w:b/>
          <w:i/>
        </w:rPr>
      </w:pPr>
      <w:r>
        <w:rPr>
          <w:b/>
          <w:i/>
        </w:rPr>
        <w:t>Zaduživanje putem obveznica uz plasman na međunarodnom</w:t>
      </w:r>
      <w:r w:rsidRPr="00916C4B">
        <w:rPr>
          <w:b/>
          <w:i/>
        </w:rPr>
        <w:t xml:space="preserve"> tržištu kapitala </w:t>
      </w:r>
    </w:p>
    <w:p w14:paraId="640C3D0B" w14:textId="77777777" w:rsidR="00C22DD4" w:rsidRPr="00C22DD4" w:rsidRDefault="00C22DD4" w:rsidP="00C22DD4">
      <w:pPr>
        <w:rPr>
          <w:b/>
          <w:i/>
        </w:rPr>
      </w:pPr>
    </w:p>
    <w:p w14:paraId="3186BC58" w14:textId="77777777" w:rsidR="00DF5050" w:rsidRDefault="00DF5050" w:rsidP="00DF5050">
      <w:pPr>
        <w:spacing w:after="200"/>
        <w:jc w:val="both"/>
      </w:pPr>
      <w:r w:rsidRPr="006356DA">
        <w:t xml:space="preserve">Republika Hrvatska, zastupana po Ministarstvu financija, </w:t>
      </w:r>
      <w:r>
        <w:t xml:space="preserve">uspješno je realizirala izdanje </w:t>
      </w:r>
      <w:proofErr w:type="spellStart"/>
      <w:r>
        <w:t>euroobveznica</w:t>
      </w:r>
      <w:proofErr w:type="spellEnd"/>
      <w:r>
        <w:t xml:space="preserve"> </w:t>
      </w:r>
      <w:r w:rsidRPr="006356DA">
        <w:t>na međunarodnom financijskom tržištu</w:t>
      </w:r>
      <w:r>
        <w:t xml:space="preserve"> u veljači 2025. godine. Obveznice su izdane u nominalnom iznosu od 2,00 milijarde</w:t>
      </w:r>
      <w:r w:rsidRPr="006356DA">
        <w:t xml:space="preserve"> eura</w:t>
      </w:r>
      <w:r>
        <w:t xml:space="preserve"> i dospijevaju 2037</w:t>
      </w:r>
      <w:r w:rsidRPr="006356DA">
        <w:t>. godine. O</w:t>
      </w:r>
      <w:r>
        <w:t>vo izdanje obveznica izdano je po cijeni od 99,745% uz nepromjenjivi kamatni kupon od 3,25</w:t>
      </w:r>
      <w:r w:rsidRPr="006356DA">
        <w:t>%</w:t>
      </w:r>
      <w:r>
        <w:t xml:space="preserve"> godišnje, što čini prinos do dospijeća od 3,28%. Kamatni kupon isplaćivat će se jednom godišnje, a glavnica u cijelosti po dospijeću, 11. veljače 2037.</w:t>
      </w:r>
    </w:p>
    <w:p w14:paraId="18F44CF8" w14:textId="575A9F3C" w:rsidR="00DF5050" w:rsidRDefault="00DF5050" w:rsidP="00DF5050">
      <w:pPr>
        <w:spacing w:after="200"/>
        <w:jc w:val="both"/>
      </w:pPr>
      <w:r>
        <w:t>U ožujku 2025. godine dospjelo je i iskupljeno 1,50 milijardi eura</w:t>
      </w:r>
      <w:r w:rsidR="00A732D9">
        <w:t xml:space="preserve"> obveznica izdanih</w:t>
      </w:r>
      <w:r w:rsidR="00EA364A">
        <w:t xml:space="preserve"> uz kamatni kupon od 3,00% u ožujku </w:t>
      </w:r>
      <w:r w:rsidR="00A732D9">
        <w:t>2</w:t>
      </w:r>
      <w:r w:rsidR="00EA364A">
        <w:t>015</w:t>
      </w:r>
      <w:r w:rsidR="00A732D9">
        <w:t>.</w:t>
      </w:r>
      <w:r w:rsidR="00EA364A">
        <w:t>godine.</w:t>
      </w:r>
    </w:p>
    <w:p w14:paraId="0E800742" w14:textId="77777777" w:rsidR="00C22DD4" w:rsidRPr="006356DA" w:rsidRDefault="00C22DD4" w:rsidP="00C22DD4">
      <w:pPr>
        <w:spacing w:after="200"/>
        <w:jc w:val="both"/>
      </w:pPr>
      <w:r w:rsidRPr="006356DA">
        <w:t>U tablici 2. dan je prikaz aktivnih obveznica izdanih na međunarodnom tržištu s naznačenim datumom izdavanja, valutom i iznosom izdanja te kamatnom stopom i datumom dospij</w:t>
      </w:r>
      <w:r>
        <w:t>eća otplate.</w:t>
      </w:r>
    </w:p>
    <w:p w14:paraId="49944006" w14:textId="77777777" w:rsidR="00DF5050" w:rsidRDefault="00DF5050" w:rsidP="00C22DD4">
      <w:pPr>
        <w:jc w:val="both"/>
        <w:rPr>
          <w:i/>
        </w:rPr>
      </w:pPr>
    </w:p>
    <w:p w14:paraId="1874BA0E" w14:textId="485D3AD4" w:rsidR="00C22DD4" w:rsidRDefault="00C22DD4" w:rsidP="00C22DD4">
      <w:pPr>
        <w:jc w:val="both"/>
        <w:rPr>
          <w:i/>
        </w:rPr>
      </w:pPr>
      <w:r w:rsidRPr="00A85202">
        <w:rPr>
          <w:i/>
        </w:rPr>
        <w:t>Tablica 2. Pregled aktivnih međunarodnih obveznica Republike Hrvatske, 31. prosinca 202</w:t>
      </w:r>
      <w:r w:rsidR="00DF5050">
        <w:rPr>
          <w:i/>
        </w:rPr>
        <w:t>5</w:t>
      </w:r>
      <w:r w:rsidRPr="00A85202">
        <w:rPr>
          <w:i/>
        </w:rPr>
        <w:t>.</w:t>
      </w:r>
    </w:p>
    <w:p w14:paraId="51126BC0" w14:textId="77777777" w:rsidR="00C22DD4" w:rsidRDefault="00C22DD4" w:rsidP="00C22DD4">
      <w:pPr>
        <w:jc w:val="both"/>
        <w:rPr>
          <w:i/>
        </w:rPr>
      </w:pPr>
    </w:p>
    <w:p w14:paraId="4ABC7539" w14:textId="01CFE4F1" w:rsidR="00C22DD4" w:rsidRPr="00A5448A" w:rsidRDefault="00D74AD8" w:rsidP="00C22DD4">
      <w:pPr>
        <w:jc w:val="both"/>
      </w:pPr>
      <w:r w:rsidRPr="00D74AD8">
        <w:rPr>
          <w:noProof/>
        </w:rPr>
        <w:drawing>
          <wp:inline distT="0" distB="0" distL="0" distR="0" wp14:anchorId="1491E586" wp14:editId="13BA72C5">
            <wp:extent cx="5760720" cy="26134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613400"/>
                    </a:xfrm>
                    <a:prstGeom prst="rect">
                      <a:avLst/>
                    </a:prstGeom>
                    <a:noFill/>
                    <a:ln>
                      <a:noFill/>
                    </a:ln>
                  </pic:spPr>
                </pic:pic>
              </a:graphicData>
            </a:graphic>
          </wp:inline>
        </w:drawing>
      </w:r>
    </w:p>
    <w:p w14:paraId="7E10C5EA" w14:textId="5784A3C6" w:rsidR="008A4E97" w:rsidRPr="00E959EE" w:rsidRDefault="00C22DD4" w:rsidP="00C075DE">
      <w:pPr>
        <w:jc w:val="both"/>
        <w:rPr>
          <w:i/>
          <w:sz w:val="20"/>
          <w:szCs w:val="20"/>
        </w:rPr>
      </w:pPr>
      <w:r w:rsidRPr="00A85202">
        <w:rPr>
          <w:i/>
          <w:sz w:val="20"/>
          <w:szCs w:val="20"/>
        </w:rPr>
        <w:t>Izvor: Ministarstvo financija</w:t>
      </w:r>
    </w:p>
    <w:p w14:paraId="777B4EE7" w14:textId="62BCB92E" w:rsidR="003660FF" w:rsidRDefault="003660FF" w:rsidP="00C075DE">
      <w:pPr>
        <w:jc w:val="both"/>
      </w:pPr>
    </w:p>
    <w:p w14:paraId="7D18FC63" w14:textId="363D8C9F" w:rsidR="00AA1DC6" w:rsidRDefault="00AA1DC6" w:rsidP="00C075DE">
      <w:pPr>
        <w:jc w:val="both"/>
      </w:pPr>
    </w:p>
    <w:p w14:paraId="724889F9" w14:textId="77777777" w:rsidR="00787539" w:rsidRPr="00916C4B" w:rsidRDefault="00787539" w:rsidP="00C075DE">
      <w:pPr>
        <w:jc w:val="both"/>
      </w:pPr>
    </w:p>
    <w:p w14:paraId="1D8DDF5F" w14:textId="508EEF40" w:rsidR="00C075DE" w:rsidRPr="008E4219" w:rsidRDefault="00C075DE" w:rsidP="00C22DD4">
      <w:pPr>
        <w:pStyle w:val="Odlomakpopisa"/>
        <w:numPr>
          <w:ilvl w:val="0"/>
          <w:numId w:val="5"/>
        </w:numPr>
        <w:tabs>
          <w:tab w:val="left" w:pos="360"/>
        </w:tabs>
        <w:rPr>
          <w:b/>
          <w:i/>
        </w:rPr>
      </w:pPr>
      <w:r w:rsidRPr="008E4219">
        <w:rPr>
          <w:b/>
          <w:i/>
        </w:rPr>
        <w:t xml:space="preserve">Zaduživanje </w:t>
      </w:r>
      <w:r w:rsidR="003660FF" w:rsidRPr="008E4219">
        <w:rPr>
          <w:b/>
          <w:i/>
        </w:rPr>
        <w:t xml:space="preserve">putem </w:t>
      </w:r>
      <w:r w:rsidRPr="008E4219">
        <w:rPr>
          <w:b/>
          <w:i/>
        </w:rPr>
        <w:t>dugoročnih kredita</w:t>
      </w:r>
      <w:r w:rsidR="003660FF" w:rsidRPr="008E4219">
        <w:rPr>
          <w:b/>
          <w:i/>
        </w:rPr>
        <w:t xml:space="preserve"> na domaćem tržištu kapitala</w:t>
      </w:r>
      <w:r w:rsidR="000378EF" w:rsidRPr="008E4219">
        <w:rPr>
          <w:b/>
          <w:i/>
        </w:rPr>
        <w:t xml:space="preserve"> </w:t>
      </w:r>
    </w:p>
    <w:p w14:paraId="167D437E" w14:textId="77777777" w:rsidR="003660FF" w:rsidRPr="003660FF" w:rsidRDefault="003660FF" w:rsidP="003660FF">
      <w:pPr>
        <w:tabs>
          <w:tab w:val="left" w:pos="360"/>
        </w:tabs>
        <w:ind w:left="360"/>
        <w:rPr>
          <w:b/>
          <w:i/>
        </w:rPr>
      </w:pPr>
    </w:p>
    <w:p w14:paraId="1C6D1672" w14:textId="77E6F3BA" w:rsidR="00EE1CF8" w:rsidRPr="00D80D24" w:rsidRDefault="00EE1CF8" w:rsidP="00787539">
      <w:pPr>
        <w:spacing w:after="240"/>
        <w:jc w:val="both"/>
      </w:pPr>
      <w:r>
        <w:t xml:space="preserve">U 2025. godini nije bilo </w:t>
      </w:r>
      <w:r w:rsidR="00CA1A96">
        <w:t xml:space="preserve">ugovorenih </w:t>
      </w:r>
      <w:r>
        <w:t>zaduživanja putem dugoročnih kredita.</w:t>
      </w:r>
    </w:p>
    <w:p w14:paraId="2BB26073" w14:textId="77777777" w:rsidR="00A732D9" w:rsidRPr="00916C4B" w:rsidRDefault="00A732D9" w:rsidP="00197DA0">
      <w:pPr>
        <w:tabs>
          <w:tab w:val="left" w:pos="360"/>
        </w:tabs>
        <w:jc w:val="both"/>
      </w:pPr>
    </w:p>
    <w:p w14:paraId="087775F4" w14:textId="575BF7A6" w:rsidR="00D80D24" w:rsidRPr="008E4219" w:rsidRDefault="00D80D24" w:rsidP="00C22DD4">
      <w:pPr>
        <w:pStyle w:val="Odlomakpopisa"/>
        <w:numPr>
          <w:ilvl w:val="0"/>
          <w:numId w:val="5"/>
        </w:numPr>
        <w:jc w:val="both"/>
        <w:rPr>
          <w:b/>
          <w:i/>
          <w:snapToGrid w:val="0"/>
          <w:lang w:eastAsia="en-US"/>
        </w:rPr>
      </w:pPr>
      <w:r w:rsidRPr="008E4219">
        <w:rPr>
          <w:b/>
          <w:i/>
          <w:snapToGrid w:val="0"/>
          <w:lang w:eastAsia="en-US"/>
        </w:rPr>
        <w:t>Preuzete obveze</w:t>
      </w:r>
    </w:p>
    <w:p w14:paraId="7E388C4B" w14:textId="4D6A4FF5" w:rsidR="00D80D24" w:rsidRDefault="00D80D24" w:rsidP="00D80D24">
      <w:pPr>
        <w:jc w:val="both"/>
        <w:rPr>
          <w:b/>
          <w:i/>
          <w:snapToGrid w:val="0"/>
          <w:lang w:eastAsia="en-US"/>
        </w:rPr>
      </w:pPr>
    </w:p>
    <w:p w14:paraId="0162AFFB" w14:textId="77777777" w:rsidR="002858AA" w:rsidRDefault="002858AA" w:rsidP="002858AA">
      <w:pPr>
        <w:jc w:val="both"/>
      </w:pPr>
      <w:r>
        <w:t>Vlada Republike Hrvatske je 2. siječnja 2025. godine donijela Odluku o davanju suglasnosti za preuzimanje kreditnih obveza društva HŽ Infrastruktura d.o.o. za koje su izdana državna jamstva povećanjem kapitala javnog dobra  na temelju koje je Ministarstvo financija Republike Hrvatske  sklopilo šest Ugovora o preuzimanju duga.</w:t>
      </w:r>
    </w:p>
    <w:p w14:paraId="4205E0F6" w14:textId="09D0AD5F" w:rsidR="002858AA" w:rsidRDefault="002858AA" w:rsidP="00787539">
      <w:pPr>
        <w:spacing w:before="240"/>
        <w:jc w:val="both"/>
      </w:pPr>
      <w:r>
        <w:t>U tablici 3. prikazano je stanje nedospjelih glavnica duga preuzetih obveza, na dan 31. prosinca 2025. godine.</w:t>
      </w:r>
    </w:p>
    <w:p w14:paraId="2597C46B" w14:textId="5268B7E7" w:rsidR="00EC5EF1" w:rsidRDefault="00EC5EF1" w:rsidP="002858AA">
      <w:pPr>
        <w:jc w:val="both"/>
      </w:pPr>
    </w:p>
    <w:p w14:paraId="085FE931" w14:textId="29A9421C" w:rsidR="00EC5EF1" w:rsidRDefault="00EC5EF1" w:rsidP="002858AA">
      <w:pPr>
        <w:jc w:val="both"/>
      </w:pPr>
      <w:r w:rsidRPr="00EC5EF1">
        <w:rPr>
          <w:i/>
        </w:rPr>
        <w:t>Tablica 3. Preuzete obveze, 31. prosinca 2025</w:t>
      </w:r>
      <w:r>
        <w:t>.</w:t>
      </w:r>
    </w:p>
    <w:p w14:paraId="4C91F056" w14:textId="15BDF15B" w:rsidR="00EC5EF1" w:rsidRDefault="00EC5EF1" w:rsidP="002858AA">
      <w:pPr>
        <w:jc w:val="both"/>
      </w:pPr>
    </w:p>
    <w:p w14:paraId="11A1164C" w14:textId="77777777" w:rsidR="008E4219" w:rsidRDefault="008E4219" w:rsidP="002858AA">
      <w:pPr>
        <w:jc w:val="both"/>
        <w:rPr>
          <w:i/>
          <w:sz w:val="20"/>
          <w:szCs w:val="20"/>
        </w:rPr>
      </w:pPr>
      <w:r w:rsidRPr="008E4219">
        <w:rPr>
          <w:noProof/>
        </w:rPr>
        <w:drawing>
          <wp:inline distT="0" distB="0" distL="0" distR="0" wp14:anchorId="17137CFD" wp14:editId="33801409">
            <wp:extent cx="5191125" cy="197167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1125" cy="1971675"/>
                    </a:xfrm>
                    <a:prstGeom prst="rect">
                      <a:avLst/>
                    </a:prstGeom>
                    <a:noFill/>
                    <a:ln>
                      <a:noFill/>
                    </a:ln>
                  </pic:spPr>
                </pic:pic>
              </a:graphicData>
            </a:graphic>
          </wp:inline>
        </w:drawing>
      </w:r>
    </w:p>
    <w:p w14:paraId="1BECBDFA" w14:textId="6B263B4F" w:rsidR="00EC5EF1" w:rsidRPr="00BF16DE" w:rsidRDefault="00EC5EF1" w:rsidP="00BF16DE">
      <w:pPr>
        <w:jc w:val="both"/>
        <w:rPr>
          <w:i/>
          <w:sz w:val="20"/>
          <w:szCs w:val="20"/>
        </w:rPr>
      </w:pPr>
      <w:r w:rsidRPr="00EC5EF1">
        <w:rPr>
          <w:i/>
          <w:sz w:val="20"/>
          <w:szCs w:val="20"/>
        </w:rPr>
        <w:t>Izvor: Ministarstvo financija</w:t>
      </w:r>
    </w:p>
    <w:p w14:paraId="728CCBF6" w14:textId="60B7DBC8" w:rsidR="00C075DE" w:rsidRPr="00CD0679" w:rsidRDefault="00C075DE" w:rsidP="00C22DD4">
      <w:pPr>
        <w:pStyle w:val="Odlomakpopisa"/>
        <w:numPr>
          <w:ilvl w:val="0"/>
          <w:numId w:val="5"/>
        </w:numPr>
        <w:jc w:val="both"/>
        <w:rPr>
          <w:b/>
          <w:i/>
          <w:snapToGrid w:val="0"/>
          <w:lang w:eastAsia="en-US"/>
        </w:rPr>
      </w:pPr>
      <w:r w:rsidRPr="00CD0679">
        <w:rPr>
          <w:b/>
          <w:i/>
          <w:snapToGrid w:val="0"/>
          <w:lang w:eastAsia="en-US"/>
        </w:rPr>
        <w:lastRenderedPageBreak/>
        <w:t>Zaduživanje putem izdavanja trezorskih zapisa</w:t>
      </w:r>
      <w:r w:rsidR="005E70CF" w:rsidRPr="00CD0679">
        <w:rPr>
          <w:b/>
          <w:i/>
          <w:snapToGrid w:val="0"/>
          <w:lang w:eastAsia="en-US"/>
        </w:rPr>
        <w:t xml:space="preserve"> </w:t>
      </w:r>
    </w:p>
    <w:p w14:paraId="1E798D83" w14:textId="77777777" w:rsidR="00C075DE" w:rsidRPr="00916C4B" w:rsidRDefault="00C075DE" w:rsidP="00C075DE">
      <w:pPr>
        <w:jc w:val="both"/>
        <w:rPr>
          <w:snapToGrid w:val="0"/>
          <w:lang w:eastAsia="en-US"/>
        </w:rPr>
      </w:pPr>
    </w:p>
    <w:p w14:paraId="3C183726" w14:textId="59DB8648" w:rsidR="00E959EE" w:rsidRDefault="00E959EE" w:rsidP="00E959EE">
      <w:pPr>
        <w:jc w:val="both"/>
        <w:rPr>
          <w:snapToGrid w:val="0"/>
          <w:lang w:eastAsia="en-US"/>
        </w:rPr>
      </w:pPr>
      <w:r>
        <w:rPr>
          <w:snapToGrid w:val="0"/>
          <w:lang w:eastAsia="en-US"/>
        </w:rPr>
        <w:t>Ministarstvo financija</w:t>
      </w:r>
      <w:r w:rsidR="00FF1402">
        <w:rPr>
          <w:snapToGrid w:val="0"/>
          <w:lang w:eastAsia="en-US"/>
        </w:rPr>
        <w:t xml:space="preserve">, </w:t>
      </w:r>
      <w:r>
        <w:rPr>
          <w:snapToGrid w:val="0"/>
          <w:lang w:eastAsia="en-US"/>
        </w:rPr>
        <w:t xml:space="preserve">uz tradicionalno provođenje aukcija trezorskih zapisa za institucionalne investitore, putem elektroničkog aukcijskog sustava </w:t>
      </w:r>
      <w:proofErr w:type="spellStart"/>
      <w:r>
        <w:rPr>
          <w:snapToGrid w:val="0"/>
          <w:lang w:eastAsia="en-US"/>
        </w:rPr>
        <w:t>Bloomberg</w:t>
      </w:r>
      <w:proofErr w:type="spellEnd"/>
      <w:r>
        <w:rPr>
          <w:snapToGrid w:val="0"/>
          <w:lang w:eastAsia="en-US"/>
        </w:rPr>
        <w:t xml:space="preserve"> (BAS), omogućilo</w:t>
      </w:r>
      <w:r w:rsidR="00FF1402">
        <w:rPr>
          <w:snapToGrid w:val="0"/>
          <w:lang w:eastAsia="en-US"/>
        </w:rPr>
        <w:t xml:space="preserve"> je</w:t>
      </w:r>
      <w:r>
        <w:rPr>
          <w:snapToGrid w:val="0"/>
          <w:lang w:eastAsia="en-US"/>
        </w:rPr>
        <w:t xml:space="preserve"> i izravno sudjelovanje građana u upisu trezorskih zapisa putem poslovnica Fina</w:t>
      </w:r>
      <w:r w:rsidR="00FF1402">
        <w:rPr>
          <w:snapToGrid w:val="0"/>
          <w:lang w:eastAsia="en-US"/>
        </w:rPr>
        <w:t>ncijske agencije i digitalne</w:t>
      </w:r>
      <w:r>
        <w:rPr>
          <w:snapToGrid w:val="0"/>
          <w:lang w:eastAsia="en-US"/>
        </w:rPr>
        <w:t xml:space="preserve"> platforme</w:t>
      </w:r>
      <w:r w:rsidR="00FF1402">
        <w:rPr>
          <w:snapToGrid w:val="0"/>
          <w:lang w:eastAsia="en-US"/>
        </w:rPr>
        <w:t xml:space="preserve"> za vrijednosne papire – pristupom sustavima</w:t>
      </w:r>
      <w:r>
        <w:rPr>
          <w:snapToGrid w:val="0"/>
          <w:lang w:eastAsia="en-US"/>
        </w:rPr>
        <w:t xml:space="preserve"> E- Riznica</w:t>
      </w:r>
      <w:r w:rsidR="00FF1402">
        <w:rPr>
          <w:snapToGrid w:val="0"/>
          <w:lang w:eastAsia="en-US"/>
        </w:rPr>
        <w:t xml:space="preserve"> i M- Riznica</w:t>
      </w:r>
      <w:r>
        <w:rPr>
          <w:snapToGrid w:val="0"/>
          <w:lang w:eastAsia="en-US"/>
        </w:rPr>
        <w:t xml:space="preserve">. </w:t>
      </w:r>
    </w:p>
    <w:p w14:paraId="080891A9" w14:textId="77777777" w:rsidR="00E959EE" w:rsidRDefault="00E959EE" w:rsidP="00E959EE">
      <w:pPr>
        <w:jc w:val="both"/>
        <w:rPr>
          <w:snapToGrid w:val="0"/>
          <w:lang w:eastAsia="en-US"/>
        </w:rPr>
      </w:pPr>
    </w:p>
    <w:p w14:paraId="4BC8C69A" w14:textId="77777777" w:rsidR="00E959EE" w:rsidRDefault="00E959EE" w:rsidP="00E959EE">
      <w:pPr>
        <w:jc w:val="both"/>
        <w:rPr>
          <w:snapToGrid w:val="0"/>
          <w:color w:val="FF0000"/>
          <w:lang w:eastAsia="en-US"/>
        </w:rPr>
      </w:pPr>
      <w:r>
        <w:rPr>
          <w:snapToGrid w:val="0"/>
          <w:lang w:eastAsia="en-US"/>
        </w:rPr>
        <w:t xml:space="preserve">Izdanja trezorskih zapisa provode se u dva kruga upisa. Prvi krug upisa, sukladno Javnom pozivu i Dokumentu ponude, namijenjen je fizičkim osobama, dok je drugi krug upisa, sukladno Pravilima i uvjetima aukcija trezorskih zapisa, namijenjen institucionalnim investitorima. </w:t>
      </w:r>
    </w:p>
    <w:p w14:paraId="7077E359" w14:textId="77777777" w:rsidR="00E959EE" w:rsidRDefault="00E959EE" w:rsidP="00E959EE">
      <w:pPr>
        <w:jc w:val="both"/>
      </w:pPr>
    </w:p>
    <w:p w14:paraId="29DFD55F" w14:textId="77777777" w:rsidR="00A72D32" w:rsidRPr="00CD0679" w:rsidRDefault="00A72D32" w:rsidP="00A72D32">
      <w:pPr>
        <w:jc w:val="both"/>
      </w:pPr>
      <w:r w:rsidRPr="00CD0679">
        <w:t>Tijekom 2025. godine bilo je održano sedam upisa (1. i 2. krug) na kojima je bilo ukupno sedam izdanja trezorskih zapisa, od čega su četiri izdanja s rokom dospijeća od 91 dan i tri izdanja s rokom dospijeća od 364 dana.</w:t>
      </w:r>
    </w:p>
    <w:p w14:paraId="0AF249BA" w14:textId="77777777" w:rsidR="00E959EE" w:rsidRPr="00CD0679" w:rsidRDefault="00E959EE" w:rsidP="00E959EE">
      <w:pPr>
        <w:jc w:val="both"/>
      </w:pPr>
    </w:p>
    <w:p w14:paraId="0C0312E1" w14:textId="1116DE29" w:rsidR="00E959EE" w:rsidRPr="00CD0679" w:rsidRDefault="00E959EE" w:rsidP="00E959EE">
      <w:pPr>
        <w:jc w:val="both"/>
      </w:pPr>
      <w:r w:rsidRPr="00CD0679">
        <w:t>Struktura i iznos upisanih trezorskih zapisa, u nominalnom iznosu, na dan 31. prosinca 202</w:t>
      </w:r>
      <w:r w:rsidR="00E81F29" w:rsidRPr="00CD0679">
        <w:t>5</w:t>
      </w:r>
      <w:r w:rsidR="00D74AD8">
        <w:t>. prikazani su u t</w:t>
      </w:r>
      <w:r w:rsidR="00EC5EF1">
        <w:t>ablici 4</w:t>
      </w:r>
      <w:r w:rsidRPr="00CD0679">
        <w:t>.</w:t>
      </w:r>
    </w:p>
    <w:p w14:paraId="6CF7FEF4" w14:textId="77777777" w:rsidR="00E959EE" w:rsidRPr="00CD0679" w:rsidRDefault="00E959EE" w:rsidP="00E959EE">
      <w:pPr>
        <w:jc w:val="both"/>
      </w:pPr>
    </w:p>
    <w:p w14:paraId="5F729E80" w14:textId="40AEBA88" w:rsidR="00E81F29" w:rsidRPr="00EC5EF1" w:rsidRDefault="00EC5EF1" w:rsidP="00EC5EF1">
      <w:pPr>
        <w:pStyle w:val="Opisslike"/>
        <w:keepNext/>
        <w:rPr>
          <w:b w:val="0"/>
          <w:i/>
          <w:color w:val="auto"/>
          <w:sz w:val="24"/>
          <w:szCs w:val="24"/>
        </w:rPr>
      </w:pPr>
      <w:r>
        <w:rPr>
          <w:b w:val="0"/>
          <w:i/>
          <w:color w:val="auto"/>
          <w:sz w:val="24"/>
          <w:szCs w:val="24"/>
        </w:rPr>
        <w:t>Tablica 4</w:t>
      </w:r>
      <w:r w:rsidR="00E959EE">
        <w:rPr>
          <w:b w:val="0"/>
          <w:i/>
          <w:color w:val="auto"/>
          <w:sz w:val="24"/>
          <w:szCs w:val="24"/>
        </w:rPr>
        <w:t xml:space="preserve">. Struktura trezorskih zapisa u nominalnom </w:t>
      </w:r>
      <w:r w:rsidR="00E959EE" w:rsidRPr="00CD0679">
        <w:rPr>
          <w:b w:val="0"/>
          <w:i/>
          <w:color w:val="auto"/>
          <w:sz w:val="24"/>
          <w:szCs w:val="24"/>
        </w:rPr>
        <w:t>iznosu, 31. prosinca 202</w:t>
      </w:r>
      <w:r w:rsidR="00E81F29" w:rsidRPr="00CD0679">
        <w:rPr>
          <w:b w:val="0"/>
          <w:i/>
          <w:color w:val="auto"/>
          <w:sz w:val="24"/>
          <w:szCs w:val="24"/>
        </w:rPr>
        <w:t>5</w:t>
      </w:r>
      <w:r w:rsidR="00E959EE" w:rsidRPr="00CD0679">
        <w:rPr>
          <w:b w:val="0"/>
          <w:i/>
          <w:color w:val="auto"/>
          <w:sz w:val="24"/>
          <w:szCs w:val="24"/>
        </w:rPr>
        <w:t>.</w:t>
      </w:r>
    </w:p>
    <w:p w14:paraId="2D7EB881" w14:textId="1DE1C065" w:rsidR="00E81F29" w:rsidRDefault="00F70523" w:rsidP="00EC5EF1">
      <w:pPr>
        <w:rPr>
          <w:bCs/>
          <w:i/>
        </w:rPr>
      </w:pPr>
      <w:r w:rsidRPr="00F70523">
        <w:rPr>
          <w:noProof/>
        </w:rPr>
        <w:drawing>
          <wp:inline distT="0" distB="0" distL="0" distR="0" wp14:anchorId="3395C285" wp14:editId="63786C5B">
            <wp:extent cx="4972050" cy="12001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2050" cy="1200150"/>
                    </a:xfrm>
                    <a:prstGeom prst="rect">
                      <a:avLst/>
                    </a:prstGeom>
                    <a:noFill/>
                    <a:ln>
                      <a:noFill/>
                    </a:ln>
                  </pic:spPr>
                </pic:pic>
              </a:graphicData>
            </a:graphic>
          </wp:inline>
        </w:drawing>
      </w:r>
    </w:p>
    <w:p w14:paraId="0BADB80A" w14:textId="25E7CD5D" w:rsidR="00E959EE" w:rsidRDefault="00E959EE" w:rsidP="00E959EE">
      <w:pPr>
        <w:jc w:val="both"/>
        <w:rPr>
          <w:i/>
          <w:sz w:val="20"/>
          <w:szCs w:val="20"/>
        </w:rPr>
      </w:pPr>
      <w:r w:rsidRPr="00E959EE">
        <w:rPr>
          <w:i/>
          <w:sz w:val="20"/>
          <w:szCs w:val="20"/>
        </w:rPr>
        <w:t>Izvor: Ministarstvo financija</w:t>
      </w:r>
    </w:p>
    <w:p w14:paraId="77C7D7D3" w14:textId="48AFB6DB" w:rsidR="00E81F29" w:rsidRDefault="00E81F29" w:rsidP="00E959EE">
      <w:pPr>
        <w:jc w:val="both"/>
        <w:rPr>
          <w:i/>
          <w:sz w:val="20"/>
          <w:szCs w:val="20"/>
        </w:rPr>
      </w:pPr>
    </w:p>
    <w:p w14:paraId="085A48E3" w14:textId="13AC08D1" w:rsidR="00ED4BD6" w:rsidRPr="00F765A5" w:rsidRDefault="00ED4BD6" w:rsidP="00E959EE">
      <w:pPr>
        <w:tabs>
          <w:tab w:val="left" w:pos="360"/>
        </w:tabs>
        <w:jc w:val="both"/>
      </w:pPr>
    </w:p>
    <w:p w14:paraId="34436D0F" w14:textId="66ACDEEB" w:rsidR="00ED4BD6" w:rsidRPr="00CD0679" w:rsidRDefault="00ED4BD6" w:rsidP="00ED4BD6">
      <w:pPr>
        <w:jc w:val="both"/>
      </w:pPr>
      <w:r w:rsidRPr="00CD0679">
        <w:t xml:space="preserve">Kamatne stope na trezorske zapise potkraj 2025. godine s rokom dospijeća od 364 dana za institucionalne investitore (kategorija </w:t>
      </w:r>
      <w:proofErr w:type="spellStart"/>
      <w:r w:rsidRPr="00CD0679">
        <w:t>ulagatelja</w:t>
      </w:r>
      <w:proofErr w:type="spellEnd"/>
      <w:r w:rsidRPr="00CD0679">
        <w:t xml:space="preserve">: Institucionalni </w:t>
      </w:r>
      <w:proofErr w:type="spellStart"/>
      <w:r w:rsidRPr="00CD0679">
        <w:t>ulagatelji</w:t>
      </w:r>
      <w:proofErr w:type="spellEnd"/>
      <w:r w:rsidRPr="00CD0679">
        <w:t xml:space="preserve">) iznosile su 2,05%, a za građane (kategorija </w:t>
      </w:r>
      <w:proofErr w:type="spellStart"/>
      <w:r w:rsidRPr="00CD0679">
        <w:t>ulagatelja</w:t>
      </w:r>
      <w:proofErr w:type="spellEnd"/>
      <w:r w:rsidRPr="00CD0679">
        <w:t>: Fizičke osobe) 2,60%. Kod emisija trezorskih zapisa s rokom dospijeća od 91 dan kamatne stope iznosile su 2,04% za institucionalne i</w:t>
      </w:r>
      <w:r w:rsidR="00C55BB4">
        <w:t>nvestitore te 2,50% za građane.</w:t>
      </w:r>
    </w:p>
    <w:p w14:paraId="19BBA268" w14:textId="77777777" w:rsidR="00ED4BD6" w:rsidRPr="00CD0679" w:rsidRDefault="00ED4BD6" w:rsidP="00ED4BD6">
      <w:pPr>
        <w:jc w:val="both"/>
      </w:pPr>
    </w:p>
    <w:p w14:paraId="4E522DF9" w14:textId="0CF018EB" w:rsidR="00ED4BD6" w:rsidRPr="00CD0679" w:rsidRDefault="00ED4BD6" w:rsidP="00ED4BD6">
      <w:pPr>
        <w:tabs>
          <w:tab w:val="left" w:pos="360"/>
        </w:tabs>
        <w:jc w:val="both"/>
      </w:pPr>
      <w:r w:rsidRPr="00CD0679">
        <w:t>Tijekom 2025. godine, u nominalnom iznosu, izdano je ukupno 8,945 milijardi eura, a istodobno je iskupljeno 6,878 milijardi eura. Stanje ukupno upisanih trezorskih zapisa povećalo se sa 3,325 milijardi eura, koliko je iznosilo potkraj 2024. godine, na 5,392 milijardi eura, koliko je iznosilo potkraj prosinca 202</w:t>
      </w:r>
      <w:r w:rsidR="00400A1E">
        <w:t>5</w:t>
      </w:r>
      <w:r w:rsidRPr="00CD0679">
        <w:t xml:space="preserve">. godine. </w:t>
      </w:r>
    </w:p>
    <w:p w14:paraId="4F408808" w14:textId="77777777" w:rsidR="00F765A5" w:rsidRPr="00CD0679" w:rsidRDefault="00F765A5" w:rsidP="00ED4BD6">
      <w:pPr>
        <w:tabs>
          <w:tab w:val="left" w:pos="360"/>
        </w:tabs>
        <w:jc w:val="both"/>
      </w:pPr>
    </w:p>
    <w:p w14:paraId="48A53EA1" w14:textId="7EF417F1" w:rsidR="00EC5EF1" w:rsidRPr="008E4219" w:rsidRDefault="00EC5EF1" w:rsidP="008E4219">
      <w:pPr>
        <w:pStyle w:val="Opisslike"/>
        <w:keepNext/>
        <w:rPr>
          <w:bCs w:val="0"/>
          <w:i/>
          <w:color w:val="auto"/>
          <w:sz w:val="24"/>
          <w:szCs w:val="24"/>
        </w:rPr>
      </w:pPr>
      <w:r>
        <w:rPr>
          <w:b w:val="0"/>
          <w:i/>
          <w:color w:val="auto"/>
          <w:sz w:val="24"/>
          <w:szCs w:val="24"/>
        </w:rPr>
        <w:lastRenderedPageBreak/>
        <w:t>Tablica 5</w:t>
      </w:r>
      <w:r w:rsidR="00E959EE" w:rsidRPr="00CD0679">
        <w:rPr>
          <w:b w:val="0"/>
          <w:i/>
          <w:color w:val="auto"/>
          <w:sz w:val="24"/>
          <w:szCs w:val="24"/>
        </w:rPr>
        <w:t>.  Primici i izdaci po trezorskim zapisima do 31. prosinca 202</w:t>
      </w:r>
      <w:r w:rsidR="00486045" w:rsidRPr="00CD0679">
        <w:rPr>
          <w:b w:val="0"/>
          <w:i/>
          <w:color w:val="auto"/>
          <w:sz w:val="24"/>
          <w:szCs w:val="24"/>
        </w:rPr>
        <w:t>5</w:t>
      </w:r>
      <w:r w:rsidR="00E959EE" w:rsidRPr="00CD0679">
        <w:rPr>
          <w:b w:val="0"/>
          <w:i/>
          <w:color w:val="auto"/>
          <w:sz w:val="24"/>
          <w:szCs w:val="24"/>
        </w:rPr>
        <w:t>.</w:t>
      </w:r>
      <w:r w:rsidR="00E959EE" w:rsidRPr="00CD0679">
        <w:rPr>
          <w:bCs w:val="0"/>
          <w:i/>
          <w:color w:val="auto"/>
          <w:sz w:val="24"/>
          <w:szCs w:val="24"/>
        </w:rPr>
        <w:t xml:space="preserve"> </w:t>
      </w:r>
    </w:p>
    <w:p w14:paraId="27465254" w14:textId="2A389B54" w:rsidR="00486045" w:rsidRDefault="008E4219" w:rsidP="00EE1CF8">
      <w:r w:rsidRPr="008E4219">
        <w:rPr>
          <w:noProof/>
        </w:rPr>
        <w:drawing>
          <wp:inline distT="0" distB="0" distL="0" distR="0" wp14:anchorId="24CF164F" wp14:editId="5068D2BC">
            <wp:extent cx="5760720" cy="2313016"/>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2313016"/>
                    </a:xfrm>
                    <a:prstGeom prst="rect">
                      <a:avLst/>
                    </a:prstGeom>
                    <a:noFill/>
                    <a:ln>
                      <a:noFill/>
                    </a:ln>
                  </pic:spPr>
                </pic:pic>
              </a:graphicData>
            </a:graphic>
          </wp:inline>
        </w:drawing>
      </w:r>
    </w:p>
    <w:p w14:paraId="031F1C10" w14:textId="16FA930B" w:rsidR="00E959EE" w:rsidRPr="00E959EE" w:rsidRDefault="00E959EE" w:rsidP="00E959EE">
      <w:pPr>
        <w:spacing w:after="200"/>
        <w:rPr>
          <w:sz w:val="20"/>
          <w:szCs w:val="20"/>
        </w:rPr>
      </w:pPr>
      <w:r w:rsidRPr="00E959EE">
        <w:rPr>
          <w:i/>
          <w:sz w:val="20"/>
          <w:szCs w:val="20"/>
        </w:rPr>
        <w:t>Izvor: Ministarstvo financija</w:t>
      </w:r>
    </w:p>
    <w:p w14:paraId="0B95F0B5" w14:textId="77777777" w:rsidR="00F10FA3" w:rsidRPr="00916C4B" w:rsidRDefault="00F10FA3" w:rsidP="004058A0">
      <w:pPr>
        <w:tabs>
          <w:tab w:val="left" w:pos="0"/>
        </w:tabs>
        <w:jc w:val="both"/>
        <w:rPr>
          <w:b/>
          <w:u w:val="single"/>
        </w:rPr>
      </w:pPr>
    </w:p>
    <w:p w14:paraId="123FFDEA" w14:textId="77777777" w:rsidR="004058A0" w:rsidRPr="00916C4B" w:rsidRDefault="00BA6D1C" w:rsidP="007C6E1A">
      <w:pPr>
        <w:pStyle w:val="Odlomakpopisa"/>
        <w:numPr>
          <w:ilvl w:val="0"/>
          <w:numId w:val="5"/>
        </w:numPr>
        <w:tabs>
          <w:tab w:val="left" w:pos="0"/>
        </w:tabs>
        <w:spacing w:before="240"/>
        <w:ind w:left="714" w:hanging="357"/>
        <w:jc w:val="both"/>
        <w:rPr>
          <w:b/>
          <w:i/>
        </w:rPr>
      </w:pPr>
      <w:r w:rsidRPr="00916C4B">
        <w:rPr>
          <w:b/>
          <w:i/>
        </w:rPr>
        <w:t>Zaduživanje putem kratkoročnih kredita</w:t>
      </w:r>
    </w:p>
    <w:p w14:paraId="3BFCA94A" w14:textId="77777777" w:rsidR="00B36969" w:rsidRPr="00916C4B" w:rsidRDefault="00B36969" w:rsidP="004058A0">
      <w:pPr>
        <w:tabs>
          <w:tab w:val="left" w:pos="0"/>
        </w:tabs>
        <w:jc w:val="both"/>
        <w:rPr>
          <w:b/>
        </w:rPr>
      </w:pPr>
    </w:p>
    <w:p w14:paraId="60AE188C" w14:textId="77777777" w:rsidR="00EE1CF8" w:rsidRDefault="00EE1CF8" w:rsidP="00EE1CF8">
      <w:pPr>
        <w:tabs>
          <w:tab w:val="left" w:pos="360"/>
        </w:tabs>
        <w:jc w:val="both"/>
      </w:pPr>
      <w:r>
        <w:t>U svrhu financiranja potreba državnog proračuna, Republika Hrvatska se u 2025. godini zadužila putem kratkoročnih kredita i depozita u sljedećim iznosima:</w:t>
      </w:r>
    </w:p>
    <w:p w14:paraId="53DD50A9" w14:textId="11F0928C" w:rsidR="00791240" w:rsidRDefault="00791240" w:rsidP="008E20A5"/>
    <w:p w14:paraId="66173A35" w14:textId="77777777" w:rsidR="00EE1CF8" w:rsidRDefault="00EE1CF8" w:rsidP="00EE1CF8">
      <w:pPr>
        <w:pStyle w:val="Odlomakpopisa"/>
        <w:numPr>
          <w:ilvl w:val="0"/>
          <w:numId w:val="13"/>
        </w:numPr>
        <w:tabs>
          <w:tab w:val="left" w:pos="360"/>
        </w:tabs>
        <w:jc w:val="both"/>
      </w:pPr>
      <w:r>
        <w:t>Kredit u iznosu 50.000.000,00 eura</w:t>
      </w:r>
    </w:p>
    <w:p w14:paraId="2420EBAB" w14:textId="77777777" w:rsidR="00EE1CF8" w:rsidRDefault="00EE1CF8" w:rsidP="00EE1CF8">
      <w:pPr>
        <w:tabs>
          <w:tab w:val="left" w:pos="360"/>
        </w:tabs>
        <w:jc w:val="both"/>
      </w:pPr>
    </w:p>
    <w:p w14:paraId="1DFDCA34" w14:textId="77777777" w:rsidR="00EE1CF8" w:rsidRDefault="00EE1CF8" w:rsidP="00EE1CF8">
      <w:pPr>
        <w:tabs>
          <w:tab w:val="left" w:pos="360"/>
        </w:tabs>
        <w:jc w:val="both"/>
      </w:pPr>
      <w:r>
        <w:t>Republika Hrvatska se zadužila kod Hrvatske banke za obnovu i razvoj (HBOR) u iznosu od 50 milijuna eura. Kamatna stopa je fiksna i iznosila je 2,60%. Glavnica i kamata otplaćene su 14. ožujka 2025.</w:t>
      </w:r>
    </w:p>
    <w:p w14:paraId="2C42E085" w14:textId="77777777" w:rsidR="00EE1CF8" w:rsidRDefault="00EE1CF8" w:rsidP="00EE1CF8">
      <w:pPr>
        <w:tabs>
          <w:tab w:val="left" w:pos="360"/>
        </w:tabs>
        <w:jc w:val="both"/>
      </w:pPr>
    </w:p>
    <w:p w14:paraId="1CAC0790" w14:textId="77777777" w:rsidR="00EE1CF8" w:rsidRDefault="00EE1CF8" w:rsidP="00EE1CF8">
      <w:pPr>
        <w:pStyle w:val="Odlomakpopisa"/>
        <w:numPr>
          <w:ilvl w:val="0"/>
          <w:numId w:val="13"/>
        </w:numPr>
        <w:tabs>
          <w:tab w:val="left" w:pos="360"/>
        </w:tabs>
        <w:jc w:val="both"/>
      </w:pPr>
      <w:r>
        <w:t>Kredit u iznosu od 80.000.000,00 eura</w:t>
      </w:r>
    </w:p>
    <w:p w14:paraId="0EAAF077" w14:textId="77777777" w:rsidR="00EE1CF8" w:rsidRDefault="00EE1CF8" w:rsidP="00EE1CF8">
      <w:pPr>
        <w:tabs>
          <w:tab w:val="left" w:pos="360"/>
        </w:tabs>
        <w:jc w:val="both"/>
      </w:pPr>
    </w:p>
    <w:p w14:paraId="4ED7ADD7" w14:textId="77777777" w:rsidR="00EE1CF8" w:rsidRDefault="00EE1CF8" w:rsidP="00EE1CF8">
      <w:pPr>
        <w:tabs>
          <w:tab w:val="left" w:pos="360"/>
        </w:tabs>
        <w:jc w:val="both"/>
      </w:pPr>
      <w:r>
        <w:t>Republika Hrvatska se zadužila kod Hrvatske banke za obnovu i razvoj (HBOR) u iznosu od 80 milijuna eura. Kamatna stopa je fiksna i iznosila je 2,80%. Glavnica i kamata otplaćene su 14. ožujka 2025.</w:t>
      </w:r>
    </w:p>
    <w:p w14:paraId="4334FC2E" w14:textId="77777777" w:rsidR="00EE1CF8" w:rsidRDefault="00EE1CF8" w:rsidP="00EE1CF8">
      <w:pPr>
        <w:tabs>
          <w:tab w:val="left" w:pos="360"/>
        </w:tabs>
        <w:jc w:val="both"/>
      </w:pPr>
    </w:p>
    <w:p w14:paraId="62BB39D7" w14:textId="77777777" w:rsidR="00EE1CF8" w:rsidRDefault="00EE1CF8" w:rsidP="00EE1CF8">
      <w:pPr>
        <w:pStyle w:val="Odlomakpopisa"/>
        <w:numPr>
          <w:ilvl w:val="0"/>
          <w:numId w:val="13"/>
        </w:numPr>
        <w:tabs>
          <w:tab w:val="left" w:pos="360"/>
        </w:tabs>
        <w:jc w:val="both"/>
      </w:pPr>
      <w:r>
        <w:t>Depozit u iznosu od 300.000.000,00 eura</w:t>
      </w:r>
    </w:p>
    <w:p w14:paraId="43A6D1BC" w14:textId="77777777" w:rsidR="00EE1CF8" w:rsidRDefault="00EE1CF8" w:rsidP="00EE1CF8">
      <w:pPr>
        <w:tabs>
          <w:tab w:val="left" w:pos="360"/>
        </w:tabs>
        <w:jc w:val="both"/>
      </w:pPr>
    </w:p>
    <w:p w14:paraId="71C8F0F6" w14:textId="77777777" w:rsidR="00EE1CF8" w:rsidRDefault="00EE1CF8" w:rsidP="00EE1CF8">
      <w:pPr>
        <w:tabs>
          <w:tab w:val="left" w:pos="360"/>
        </w:tabs>
        <w:jc w:val="both"/>
      </w:pPr>
      <w:r>
        <w:t>Republika Hrvatska zadužila se kod Fonda za zaštitu okoliša i energetsku učinkovitost (FZOEU) u iznosu od 300 milijuna eura. Kamatna stopa je fiksna i iznosila je 2,15% godišnje. Otplata depozita i kamate izvršena je jednokratno 7. travnja 2025. godine.</w:t>
      </w:r>
    </w:p>
    <w:p w14:paraId="44D0FB23" w14:textId="77777777" w:rsidR="00EE1CF8" w:rsidRDefault="00EE1CF8" w:rsidP="00EE1CF8">
      <w:pPr>
        <w:tabs>
          <w:tab w:val="left" w:pos="360"/>
        </w:tabs>
        <w:jc w:val="both"/>
      </w:pPr>
    </w:p>
    <w:p w14:paraId="203F4B9A" w14:textId="77777777" w:rsidR="00EE1CF8" w:rsidRDefault="00EE1CF8" w:rsidP="00EE1CF8">
      <w:pPr>
        <w:pStyle w:val="Odlomakpopisa"/>
        <w:numPr>
          <w:ilvl w:val="0"/>
          <w:numId w:val="13"/>
        </w:numPr>
        <w:tabs>
          <w:tab w:val="left" w:pos="360"/>
        </w:tabs>
        <w:jc w:val="both"/>
      </w:pPr>
      <w:r>
        <w:t>Depozit u iznosu od 750.000.000,00 eura</w:t>
      </w:r>
    </w:p>
    <w:p w14:paraId="37441D46" w14:textId="77777777" w:rsidR="00EE1CF8" w:rsidRDefault="00EE1CF8" w:rsidP="00EE1CF8">
      <w:pPr>
        <w:tabs>
          <w:tab w:val="left" w:pos="360"/>
        </w:tabs>
        <w:jc w:val="both"/>
      </w:pPr>
    </w:p>
    <w:p w14:paraId="4B23E776" w14:textId="77777777" w:rsidR="00EE1CF8" w:rsidRDefault="00EE1CF8" w:rsidP="00EE1CF8">
      <w:pPr>
        <w:tabs>
          <w:tab w:val="left" w:pos="360"/>
        </w:tabs>
        <w:jc w:val="both"/>
      </w:pPr>
      <w:r>
        <w:t>Republika Hrvatska zadužila se kod Hrvatske agencija za osiguranje depozita (HAOD) u iznosu od 750 milijuna eura. Kamatna stopa je fiksna i iznosila je 2,15% godišnje. Otplata depozita i kamate izvršena je jednokratno 30. rujna 2025. godine.</w:t>
      </w:r>
    </w:p>
    <w:p w14:paraId="3B737C53" w14:textId="1231D0E6" w:rsidR="00EE1CF8" w:rsidRDefault="00EE1CF8" w:rsidP="00EE1CF8">
      <w:pPr>
        <w:tabs>
          <w:tab w:val="left" w:pos="360"/>
        </w:tabs>
        <w:jc w:val="both"/>
      </w:pPr>
    </w:p>
    <w:p w14:paraId="1C27D376" w14:textId="43356500" w:rsidR="00D335C1" w:rsidRDefault="00D335C1" w:rsidP="00EE1CF8">
      <w:pPr>
        <w:tabs>
          <w:tab w:val="left" w:pos="360"/>
        </w:tabs>
        <w:jc w:val="both"/>
      </w:pPr>
    </w:p>
    <w:p w14:paraId="72708A9D" w14:textId="5AE1AADB" w:rsidR="00D335C1" w:rsidRDefault="00D335C1" w:rsidP="00EE1CF8">
      <w:pPr>
        <w:tabs>
          <w:tab w:val="left" w:pos="360"/>
        </w:tabs>
        <w:jc w:val="both"/>
      </w:pPr>
    </w:p>
    <w:p w14:paraId="1E647CE9" w14:textId="77777777" w:rsidR="00D335C1" w:rsidRDefault="00D335C1" w:rsidP="00EE1CF8">
      <w:pPr>
        <w:tabs>
          <w:tab w:val="left" w:pos="360"/>
        </w:tabs>
        <w:jc w:val="both"/>
      </w:pPr>
    </w:p>
    <w:p w14:paraId="5875498D" w14:textId="77777777" w:rsidR="00EE1CF8" w:rsidRDefault="00EE1CF8" w:rsidP="00EE1CF8">
      <w:pPr>
        <w:pStyle w:val="Odlomakpopisa"/>
        <w:numPr>
          <w:ilvl w:val="0"/>
          <w:numId w:val="13"/>
        </w:numPr>
        <w:tabs>
          <w:tab w:val="left" w:pos="360"/>
        </w:tabs>
        <w:jc w:val="both"/>
      </w:pPr>
      <w:r>
        <w:lastRenderedPageBreak/>
        <w:t>Depozit u iznosu od 500.000.000,00 eura</w:t>
      </w:r>
    </w:p>
    <w:p w14:paraId="2693986A" w14:textId="77777777" w:rsidR="00EE1CF8" w:rsidRDefault="00EE1CF8" w:rsidP="00EE1CF8">
      <w:pPr>
        <w:tabs>
          <w:tab w:val="left" w:pos="360"/>
        </w:tabs>
        <w:jc w:val="both"/>
      </w:pPr>
    </w:p>
    <w:p w14:paraId="074AED75" w14:textId="30384DAD" w:rsidR="00EE1CF8" w:rsidRDefault="00EE1CF8" w:rsidP="00EE1CF8">
      <w:pPr>
        <w:tabs>
          <w:tab w:val="left" w:pos="360"/>
        </w:tabs>
        <w:jc w:val="both"/>
      </w:pPr>
      <w:r>
        <w:t>Republika Hrvatska zadužila se kod Hrvatske agencija za osiguranje depozita (HAOD) u iznosu od 500 milijuna eura. Kamatna stopa je fiksna i iznosila je 1,90% godišnje. Otplata depozita i kamate izvršena je jednokratno 31. prosinca 2025. godine.</w:t>
      </w:r>
    </w:p>
    <w:p w14:paraId="7B08B4E5" w14:textId="77777777" w:rsidR="006D4AE2" w:rsidRDefault="006D4AE2" w:rsidP="00EE1CF8">
      <w:pPr>
        <w:tabs>
          <w:tab w:val="left" w:pos="360"/>
        </w:tabs>
        <w:jc w:val="both"/>
      </w:pPr>
    </w:p>
    <w:p w14:paraId="3BB89ED3" w14:textId="77777777" w:rsidR="006D4AE2" w:rsidRPr="001370E8" w:rsidRDefault="006D4AE2" w:rsidP="006D4AE2">
      <w:pPr>
        <w:pStyle w:val="Odlomakpopisa"/>
        <w:numPr>
          <w:ilvl w:val="0"/>
          <w:numId w:val="5"/>
        </w:numPr>
        <w:tabs>
          <w:tab w:val="left" w:pos="0"/>
        </w:tabs>
        <w:jc w:val="both"/>
        <w:rPr>
          <w:b/>
          <w:i/>
        </w:rPr>
      </w:pPr>
      <w:r w:rsidRPr="001370E8">
        <w:rPr>
          <w:b/>
          <w:i/>
        </w:rPr>
        <w:t xml:space="preserve">Zaduživanje kod međunarodnih financijskih institucija i tijela EU </w:t>
      </w:r>
    </w:p>
    <w:p w14:paraId="7BCFC15A" w14:textId="77777777" w:rsidR="003B1C80" w:rsidRPr="001370E8" w:rsidRDefault="003B1C80" w:rsidP="006D4AE2">
      <w:pPr>
        <w:jc w:val="both"/>
      </w:pPr>
    </w:p>
    <w:p w14:paraId="34B1E323" w14:textId="02DF19FF" w:rsidR="006D4AE2" w:rsidRPr="001370E8" w:rsidRDefault="003B1C80" w:rsidP="006D4AE2">
      <w:pPr>
        <w:jc w:val="both"/>
      </w:pPr>
      <w:r w:rsidRPr="001370E8">
        <w:t xml:space="preserve">U 2025. godini nije bilo </w:t>
      </w:r>
      <w:r w:rsidR="00CA1A96">
        <w:t>ugovorenih</w:t>
      </w:r>
      <w:r w:rsidR="00CA1A96" w:rsidRPr="001370E8">
        <w:t xml:space="preserve"> </w:t>
      </w:r>
      <w:r w:rsidRPr="001370E8">
        <w:t>zaduživanja kod međunarodnih financijskih institucija i tijela EU.</w:t>
      </w:r>
    </w:p>
    <w:p w14:paraId="05D3ABDB" w14:textId="77777777" w:rsidR="006D4AE2" w:rsidRPr="006D4AE2" w:rsidRDefault="006D4AE2" w:rsidP="006D4AE2">
      <w:pPr>
        <w:rPr>
          <w:highlight w:val="yellow"/>
        </w:rPr>
      </w:pPr>
    </w:p>
    <w:p w14:paraId="2474AC21" w14:textId="77777777" w:rsidR="006D4AE2" w:rsidRPr="00BF16DE" w:rsidRDefault="006D4AE2" w:rsidP="006D4AE2">
      <w:pPr>
        <w:pStyle w:val="Odlomakpopisa"/>
        <w:numPr>
          <w:ilvl w:val="0"/>
          <w:numId w:val="5"/>
        </w:numPr>
        <w:tabs>
          <w:tab w:val="left" w:pos="0"/>
        </w:tabs>
        <w:jc w:val="both"/>
        <w:rPr>
          <w:b/>
          <w:i/>
        </w:rPr>
      </w:pPr>
      <w:r w:rsidRPr="00BF16DE">
        <w:rPr>
          <w:b/>
          <w:i/>
        </w:rPr>
        <w:t>Zaduživanje proračunskih korisnika državnog korisnika</w:t>
      </w:r>
    </w:p>
    <w:p w14:paraId="2CF17560" w14:textId="77777777" w:rsidR="00D9086E" w:rsidRDefault="00D9086E" w:rsidP="004B2BC4">
      <w:pPr>
        <w:tabs>
          <w:tab w:val="left" w:pos="360"/>
        </w:tabs>
        <w:jc w:val="both"/>
      </w:pPr>
    </w:p>
    <w:p w14:paraId="01EC9B1C" w14:textId="72B00490" w:rsidR="00D9086E" w:rsidRDefault="004B2BC4" w:rsidP="00D9086E">
      <w:pPr>
        <w:jc w:val="both"/>
      </w:pPr>
      <w:r>
        <w:t xml:space="preserve">U 2025. godini nije bilo </w:t>
      </w:r>
      <w:r w:rsidR="00CA1A96">
        <w:t xml:space="preserve">ugovorenih </w:t>
      </w:r>
      <w:r>
        <w:t xml:space="preserve">zaduživanja proračunskih korisnika na domaćem i stranom tržištu </w:t>
      </w:r>
      <w:r w:rsidRPr="004B2BC4">
        <w:t>novca i kapitala</w:t>
      </w:r>
      <w:r>
        <w:t>.</w:t>
      </w:r>
    </w:p>
    <w:p w14:paraId="45328889" w14:textId="0133EE4A" w:rsidR="00D335C1" w:rsidRDefault="00D335C1" w:rsidP="00D9086E">
      <w:pPr>
        <w:jc w:val="both"/>
      </w:pPr>
    </w:p>
    <w:p w14:paraId="40494647" w14:textId="70ECAE1A" w:rsidR="00D335C1" w:rsidRDefault="00D335C1" w:rsidP="00D9086E">
      <w:pPr>
        <w:jc w:val="both"/>
      </w:pPr>
    </w:p>
    <w:p w14:paraId="487D4C6D" w14:textId="4E12D5FE" w:rsidR="00CA1A96" w:rsidRPr="00D9086E" w:rsidRDefault="00CA1A96" w:rsidP="00CA1A96">
      <w:pPr>
        <w:jc w:val="both"/>
      </w:pPr>
      <w:r w:rsidRPr="00D9086E">
        <w:br w:type="page"/>
      </w:r>
    </w:p>
    <w:p w14:paraId="1925D42C" w14:textId="5DDAF2E4" w:rsidR="008C79DA" w:rsidRDefault="008C79DA" w:rsidP="008C79DA">
      <w:pPr>
        <w:rPr>
          <w:b/>
        </w:rPr>
      </w:pPr>
      <w:r>
        <w:rPr>
          <w:b/>
        </w:rPr>
        <w:lastRenderedPageBreak/>
        <w:t>STANJE OBVEZA ZA VRIJEDNOSNE PAPIRE, KREDITE I ZAJMOVE KOJE JE U IME REPUBLIKE HRVATSKE UGOVORILO ILI PREUZELO MINISTARSTVO FINANCIJA</w:t>
      </w:r>
    </w:p>
    <w:p w14:paraId="0F60161D" w14:textId="77777777" w:rsidR="0065134B" w:rsidRPr="001C597C" w:rsidRDefault="0065134B" w:rsidP="00695AF3">
      <w:pPr>
        <w:jc w:val="both"/>
        <w:rPr>
          <w:b/>
          <w:i/>
        </w:rPr>
      </w:pPr>
    </w:p>
    <w:p w14:paraId="021BC904" w14:textId="6409AF57" w:rsidR="0060450F" w:rsidRDefault="005105B3" w:rsidP="00A85A52">
      <w:pPr>
        <w:pStyle w:val="Uvuenotijeloteksta"/>
        <w:ind w:firstLine="0"/>
      </w:pPr>
      <w:r>
        <w:t>U tablici 6</w:t>
      </w:r>
      <w:r w:rsidR="00CD4655">
        <w:t>. prikazan je detaljan analitički pregled svih zaduženja koje je u ime Republike Hrvatske ugovorilo ili preuzelo Ministarstvo financija. Prikazano je stanje svake pojedinačne obveze na dan 31.12.2024.</w:t>
      </w:r>
      <w:bookmarkStart w:id="0" w:name="_GoBack"/>
      <w:bookmarkEnd w:id="0"/>
      <w:r w:rsidR="00CD4655">
        <w:t xml:space="preserve"> i 31.12.2025. s naznačenom kama</w:t>
      </w:r>
      <w:r w:rsidR="00A85A52">
        <w:t>tnom stopom i datumom dospijeća.</w:t>
      </w:r>
    </w:p>
    <w:p w14:paraId="62988CFF" w14:textId="0F0DD3BC" w:rsidR="00A85A52" w:rsidRDefault="00A85A52" w:rsidP="00A85A52">
      <w:pPr>
        <w:pStyle w:val="Uvuenotijeloteksta"/>
        <w:ind w:firstLine="0"/>
      </w:pPr>
    </w:p>
    <w:p w14:paraId="20809A8E" w14:textId="683A8DC4" w:rsidR="00A85A52" w:rsidRDefault="00A85A52" w:rsidP="00A85A52">
      <w:pPr>
        <w:pStyle w:val="Uvuenotijeloteksta"/>
        <w:ind w:firstLine="0"/>
      </w:pPr>
    </w:p>
    <w:p w14:paraId="295D8081" w14:textId="281FEF35" w:rsidR="00A85A52" w:rsidRDefault="00A85A52" w:rsidP="00A85A52">
      <w:pPr>
        <w:pStyle w:val="Uvuenotijeloteksta"/>
        <w:ind w:firstLine="0"/>
      </w:pPr>
    </w:p>
    <w:p w14:paraId="702311B4" w14:textId="2953ED5A" w:rsidR="00A85A52" w:rsidRDefault="00A85A52" w:rsidP="0060450F">
      <w:pPr>
        <w:spacing w:before="240"/>
        <w:jc w:val="both"/>
        <w:rPr>
          <w:sz w:val="20"/>
          <w:szCs w:val="20"/>
        </w:rPr>
      </w:pPr>
    </w:p>
    <w:p w14:paraId="2ED4583D" w14:textId="77777777" w:rsidR="00A85A52" w:rsidRPr="00A85A52" w:rsidRDefault="00A85A52" w:rsidP="00A85A52">
      <w:pPr>
        <w:rPr>
          <w:sz w:val="20"/>
          <w:szCs w:val="20"/>
        </w:rPr>
      </w:pPr>
    </w:p>
    <w:p w14:paraId="62B7E5FD" w14:textId="77777777" w:rsidR="00A85A52" w:rsidRPr="00A85A52" w:rsidRDefault="00A85A52" w:rsidP="00A85A52">
      <w:pPr>
        <w:rPr>
          <w:sz w:val="20"/>
          <w:szCs w:val="20"/>
        </w:rPr>
      </w:pPr>
    </w:p>
    <w:p w14:paraId="279B7471" w14:textId="77777777" w:rsidR="00A85A52" w:rsidRPr="00A85A52" w:rsidRDefault="00A85A52" w:rsidP="00A85A52">
      <w:pPr>
        <w:rPr>
          <w:sz w:val="20"/>
          <w:szCs w:val="20"/>
        </w:rPr>
      </w:pPr>
    </w:p>
    <w:p w14:paraId="45B6EE4D" w14:textId="77777777" w:rsidR="00A85A52" w:rsidRPr="00A85A52" w:rsidRDefault="00A85A52" w:rsidP="00A85A52">
      <w:pPr>
        <w:rPr>
          <w:sz w:val="20"/>
          <w:szCs w:val="20"/>
        </w:rPr>
      </w:pPr>
    </w:p>
    <w:p w14:paraId="6C33A7B3" w14:textId="77777777" w:rsidR="00A85A52" w:rsidRPr="00A85A52" w:rsidRDefault="00A85A52" w:rsidP="00A85A52">
      <w:pPr>
        <w:rPr>
          <w:sz w:val="20"/>
          <w:szCs w:val="20"/>
        </w:rPr>
      </w:pPr>
    </w:p>
    <w:p w14:paraId="10AFFB15" w14:textId="77777777" w:rsidR="00A85A52" w:rsidRPr="00A85A52" w:rsidRDefault="00A85A52" w:rsidP="00A85A52">
      <w:pPr>
        <w:rPr>
          <w:sz w:val="20"/>
          <w:szCs w:val="20"/>
        </w:rPr>
      </w:pPr>
    </w:p>
    <w:p w14:paraId="15D161FE" w14:textId="77777777" w:rsidR="00A85A52" w:rsidRPr="00A85A52" w:rsidRDefault="00A85A52" w:rsidP="00A85A52">
      <w:pPr>
        <w:rPr>
          <w:sz w:val="20"/>
          <w:szCs w:val="20"/>
        </w:rPr>
      </w:pPr>
    </w:p>
    <w:p w14:paraId="1B0FF19B" w14:textId="77777777" w:rsidR="00A85A52" w:rsidRPr="00A85A52" w:rsidRDefault="00A85A52" w:rsidP="00A85A52">
      <w:pPr>
        <w:rPr>
          <w:sz w:val="20"/>
          <w:szCs w:val="20"/>
        </w:rPr>
      </w:pPr>
    </w:p>
    <w:p w14:paraId="20BA587A" w14:textId="77777777" w:rsidR="00A85A52" w:rsidRPr="00A85A52" w:rsidRDefault="00A85A52" w:rsidP="00A85A52">
      <w:pPr>
        <w:rPr>
          <w:sz w:val="20"/>
          <w:szCs w:val="20"/>
        </w:rPr>
      </w:pPr>
    </w:p>
    <w:p w14:paraId="7ED8698A" w14:textId="77777777" w:rsidR="00A85A52" w:rsidRPr="00A85A52" w:rsidRDefault="00A85A52" w:rsidP="00A85A52">
      <w:pPr>
        <w:rPr>
          <w:sz w:val="20"/>
          <w:szCs w:val="20"/>
        </w:rPr>
      </w:pPr>
    </w:p>
    <w:p w14:paraId="13C56B91" w14:textId="451DA1EF" w:rsidR="00A85A52" w:rsidRDefault="00A85A52" w:rsidP="00A85A52">
      <w:pPr>
        <w:rPr>
          <w:sz w:val="20"/>
          <w:szCs w:val="20"/>
        </w:rPr>
      </w:pPr>
    </w:p>
    <w:p w14:paraId="1CDA21F9" w14:textId="03E30297" w:rsidR="00A85A52" w:rsidRDefault="00A85A52" w:rsidP="00A85A52">
      <w:pPr>
        <w:rPr>
          <w:sz w:val="20"/>
          <w:szCs w:val="20"/>
        </w:rPr>
      </w:pPr>
    </w:p>
    <w:p w14:paraId="36E70651" w14:textId="570C6590" w:rsidR="00A85A52" w:rsidRDefault="00A85A52" w:rsidP="00A85A52">
      <w:pPr>
        <w:rPr>
          <w:sz w:val="20"/>
          <w:szCs w:val="20"/>
        </w:rPr>
      </w:pPr>
    </w:p>
    <w:p w14:paraId="11A1309D" w14:textId="10434EC2" w:rsidR="00A805B7" w:rsidRPr="00A85A52" w:rsidRDefault="00A85A52" w:rsidP="00A85A52">
      <w:pPr>
        <w:tabs>
          <w:tab w:val="left" w:pos="5824"/>
        </w:tabs>
        <w:rPr>
          <w:sz w:val="20"/>
          <w:szCs w:val="20"/>
        </w:rPr>
      </w:pPr>
      <w:r>
        <w:rPr>
          <w:sz w:val="20"/>
          <w:szCs w:val="20"/>
        </w:rPr>
        <w:tab/>
      </w:r>
    </w:p>
    <w:sectPr w:rsidR="00A805B7" w:rsidRPr="00A85A52" w:rsidSect="00B16925">
      <w:footerReference w:type="defaul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6BC09" w14:textId="77777777" w:rsidR="0060450F" w:rsidRDefault="0060450F" w:rsidP="0060450F">
      <w:r>
        <w:separator/>
      </w:r>
    </w:p>
  </w:endnote>
  <w:endnote w:type="continuationSeparator" w:id="0">
    <w:p w14:paraId="717558E5" w14:textId="77777777" w:rsidR="0060450F" w:rsidRDefault="0060450F" w:rsidP="0060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631514"/>
      <w:docPartObj>
        <w:docPartGallery w:val="Page Numbers (Bottom of Page)"/>
        <w:docPartUnique/>
      </w:docPartObj>
    </w:sdtPr>
    <w:sdtEndPr/>
    <w:sdtContent>
      <w:p w14:paraId="138134DD" w14:textId="385C3040" w:rsidR="00196A86" w:rsidRDefault="00196A86">
        <w:pPr>
          <w:pStyle w:val="Podnoje"/>
          <w:jc w:val="center"/>
        </w:pPr>
        <w:r>
          <w:fldChar w:fldCharType="begin"/>
        </w:r>
        <w:r>
          <w:instrText>PAGE   \* MERGEFORMAT</w:instrText>
        </w:r>
        <w:r>
          <w:fldChar w:fldCharType="separate"/>
        </w:r>
        <w:r w:rsidR="00AF0030">
          <w:rPr>
            <w:noProof/>
          </w:rPr>
          <w:t>7</w:t>
        </w:r>
        <w:r>
          <w:fldChar w:fldCharType="end"/>
        </w:r>
      </w:p>
    </w:sdtContent>
  </w:sdt>
  <w:p w14:paraId="5ED5BCE1" w14:textId="77777777" w:rsidR="00196A86" w:rsidRDefault="00196A8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B3716" w14:textId="77777777" w:rsidR="0060450F" w:rsidRDefault="0060450F" w:rsidP="0060450F">
      <w:r>
        <w:separator/>
      </w:r>
    </w:p>
  </w:footnote>
  <w:footnote w:type="continuationSeparator" w:id="0">
    <w:p w14:paraId="04DAF8C3" w14:textId="77777777" w:rsidR="0060450F" w:rsidRDefault="0060450F" w:rsidP="00604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7D72"/>
    <w:multiLevelType w:val="hybridMultilevel"/>
    <w:tmpl w:val="49ACAD0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C890FE1"/>
    <w:multiLevelType w:val="hybridMultilevel"/>
    <w:tmpl w:val="47C4BE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15:restartNumberingAfterBreak="0">
    <w:nsid w:val="1DE9333A"/>
    <w:multiLevelType w:val="hybridMultilevel"/>
    <w:tmpl w:val="05A4BDDC"/>
    <w:lvl w:ilvl="0" w:tplc="101A0001">
      <w:start w:val="1"/>
      <w:numFmt w:val="bullet"/>
      <w:lvlText w:val=""/>
      <w:lvlJc w:val="left"/>
      <w:pPr>
        <w:tabs>
          <w:tab w:val="num" w:pos="720"/>
        </w:tabs>
        <w:ind w:left="720" w:hanging="360"/>
      </w:pPr>
      <w:rPr>
        <w:rFonts w:ascii="Symbol" w:hAnsi="Symbol" w:hint="default"/>
      </w:rPr>
    </w:lvl>
    <w:lvl w:ilvl="1" w:tplc="101A0003" w:tentative="1">
      <w:start w:val="1"/>
      <w:numFmt w:val="bullet"/>
      <w:lvlText w:val="o"/>
      <w:lvlJc w:val="left"/>
      <w:pPr>
        <w:tabs>
          <w:tab w:val="num" w:pos="1440"/>
        </w:tabs>
        <w:ind w:left="1440" w:hanging="360"/>
      </w:pPr>
      <w:rPr>
        <w:rFonts w:ascii="Courier New" w:hAnsi="Courier New" w:cs="Courier New" w:hint="default"/>
      </w:rPr>
    </w:lvl>
    <w:lvl w:ilvl="2" w:tplc="101A0005" w:tentative="1">
      <w:start w:val="1"/>
      <w:numFmt w:val="bullet"/>
      <w:lvlText w:val=""/>
      <w:lvlJc w:val="left"/>
      <w:pPr>
        <w:tabs>
          <w:tab w:val="num" w:pos="2160"/>
        </w:tabs>
        <w:ind w:left="2160" w:hanging="360"/>
      </w:pPr>
      <w:rPr>
        <w:rFonts w:ascii="Wingdings" w:hAnsi="Wingdings" w:hint="default"/>
      </w:rPr>
    </w:lvl>
    <w:lvl w:ilvl="3" w:tplc="101A0001" w:tentative="1">
      <w:start w:val="1"/>
      <w:numFmt w:val="bullet"/>
      <w:lvlText w:val=""/>
      <w:lvlJc w:val="left"/>
      <w:pPr>
        <w:tabs>
          <w:tab w:val="num" w:pos="2880"/>
        </w:tabs>
        <w:ind w:left="2880" w:hanging="360"/>
      </w:pPr>
      <w:rPr>
        <w:rFonts w:ascii="Symbol" w:hAnsi="Symbol" w:hint="default"/>
      </w:rPr>
    </w:lvl>
    <w:lvl w:ilvl="4" w:tplc="101A0003" w:tentative="1">
      <w:start w:val="1"/>
      <w:numFmt w:val="bullet"/>
      <w:lvlText w:val="o"/>
      <w:lvlJc w:val="left"/>
      <w:pPr>
        <w:tabs>
          <w:tab w:val="num" w:pos="3600"/>
        </w:tabs>
        <w:ind w:left="3600" w:hanging="360"/>
      </w:pPr>
      <w:rPr>
        <w:rFonts w:ascii="Courier New" w:hAnsi="Courier New" w:cs="Courier New" w:hint="default"/>
      </w:rPr>
    </w:lvl>
    <w:lvl w:ilvl="5" w:tplc="101A0005" w:tentative="1">
      <w:start w:val="1"/>
      <w:numFmt w:val="bullet"/>
      <w:lvlText w:val=""/>
      <w:lvlJc w:val="left"/>
      <w:pPr>
        <w:tabs>
          <w:tab w:val="num" w:pos="4320"/>
        </w:tabs>
        <w:ind w:left="4320" w:hanging="360"/>
      </w:pPr>
      <w:rPr>
        <w:rFonts w:ascii="Wingdings" w:hAnsi="Wingdings" w:hint="default"/>
      </w:rPr>
    </w:lvl>
    <w:lvl w:ilvl="6" w:tplc="101A0001" w:tentative="1">
      <w:start w:val="1"/>
      <w:numFmt w:val="bullet"/>
      <w:lvlText w:val=""/>
      <w:lvlJc w:val="left"/>
      <w:pPr>
        <w:tabs>
          <w:tab w:val="num" w:pos="5040"/>
        </w:tabs>
        <w:ind w:left="5040" w:hanging="360"/>
      </w:pPr>
      <w:rPr>
        <w:rFonts w:ascii="Symbol" w:hAnsi="Symbol" w:hint="default"/>
      </w:rPr>
    </w:lvl>
    <w:lvl w:ilvl="7" w:tplc="101A0003" w:tentative="1">
      <w:start w:val="1"/>
      <w:numFmt w:val="bullet"/>
      <w:lvlText w:val="o"/>
      <w:lvlJc w:val="left"/>
      <w:pPr>
        <w:tabs>
          <w:tab w:val="num" w:pos="5760"/>
        </w:tabs>
        <w:ind w:left="5760" w:hanging="360"/>
      </w:pPr>
      <w:rPr>
        <w:rFonts w:ascii="Courier New" w:hAnsi="Courier New" w:cs="Courier New" w:hint="default"/>
      </w:rPr>
    </w:lvl>
    <w:lvl w:ilvl="8" w:tplc="10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331CD2"/>
    <w:multiLevelType w:val="hybridMultilevel"/>
    <w:tmpl w:val="F7006442"/>
    <w:lvl w:ilvl="0" w:tplc="041A000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8182F63"/>
    <w:multiLevelType w:val="hybridMultilevel"/>
    <w:tmpl w:val="6644DD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C57CA9"/>
    <w:multiLevelType w:val="hybridMultilevel"/>
    <w:tmpl w:val="DA7EC8DA"/>
    <w:lvl w:ilvl="0" w:tplc="75469680">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203AAA"/>
    <w:multiLevelType w:val="hybridMultilevel"/>
    <w:tmpl w:val="B42EF0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E9C7C19"/>
    <w:multiLevelType w:val="hybridMultilevel"/>
    <w:tmpl w:val="AFCEE1EE"/>
    <w:lvl w:ilvl="0" w:tplc="041A000F">
      <w:start w:val="1"/>
      <w:numFmt w:val="decimal"/>
      <w:lvlText w:val="%1."/>
      <w:lvlJc w:val="left"/>
      <w:pPr>
        <w:ind w:left="643"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F0C12E0"/>
    <w:multiLevelType w:val="hybridMultilevel"/>
    <w:tmpl w:val="E692FE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F87192E"/>
    <w:multiLevelType w:val="hybridMultilevel"/>
    <w:tmpl w:val="E692FE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66C71EB6"/>
    <w:multiLevelType w:val="hybridMultilevel"/>
    <w:tmpl w:val="60DC4268"/>
    <w:lvl w:ilvl="0" w:tplc="45682E24">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706067E1"/>
    <w:multiLevelType w:val="hybridMultilevel"/>
    <w:tmpl w:val="AFCEE1E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0803CF9"/>
    <w:multiLevelType w:val="hybridMultilevel"/>
    <w:tmpl w:val="3FF63F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1C974CB"/>
    <w:multiLevelType w:val="hybridMultilevel"/>
    <w:tmpl w:val="AC9E995C"/>
    <w:lvl w:ilvl="0" w:tplc="33D00AC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num>
  <w:num w:numId="4">
    <w:abstractNumId w:val="1"/>
  </w:num>
  <w:num w:numId="5">
    <w:abstractNumId w:val="7"/>
  </w:num>
  <w:num w:numId="6">
    <w:abstractNumId w:val="12"/>
  </w:num>
  <w:num w:numId="7">
    <w:abstractNumId w:val="4"/>
  </w:num>
  <w:num w:numId="8">
    <w:abstractNumId w:val="2"/>
  </w:num>
  <w:num w:numId="9">
    <w:abstractNumId w:val="3"/>
  </w:num>
  <w:num w:numId="10">
    <w:abstractNumId w:val="9"/>
  </w:num>
  <w:num w:numId="11">
    <w:abstractNumId w:val="8"/>
  </w:num>
  <w:num w:numId="12">
    <w:abstractNumId w:val="10"/>
  </w:num>
  <w:num w:numId="13">
    <w:abstractNumId w:val="6"/>
  </w:num>
  <w:num w:numId="14">
    <w:abstractNumId w:val="1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9A9"/>
    <w:rsid w:val="00004C62"/>
    <w:rsid w:val="00010F24"/>
    <w:rsid w:val="000144B3"/>
    <w:rsid w:val="00030E3A"/>
    <w:rsid w:val="00031647"/>
    <w:rsid w:val="00037465"/>
    <w:rsid w:val="000378EF"/>
    <w:rsid w:val="00046390"/>
    <w:rsid w:val="00061837"/>
    <w:rsid w:val="00077732"/>
    <w:rsid w:val="00095A99"/>
    <w:rsid w:val="000A0F07"/>
    <w:rsid w:val="000A3B0E"/>
    <w:rsid w:val="000A4E75"/>
    <w:rsid w:val="000B0640"/>
    <w:rsid w:val="000B0891"/>
    <w:rsid w:val="000B4F11"/>
    <w:rsid w:val="000C0412"/>
    <w:rsid w:val="000D034D"/>
    <w:rsid w:val="000D70C4"/>
    <w:rsid w:val="000E42CA"/>
    <w:rsid w:val="000E5BB4"/>
    <w:rsid w:val="001041F7"/>
    <w:rsid w:val="0010624E"/>
    <w:rsid w:val="00110164"/>
    <w:rsid w:val="00110EE6"/>
    <w:rsid w:val="001144B0"/>
    <w:rsid w:val="001301CB"/>
    <w:rsid w:val="00131A63"/>
    <w:rsid w:val="0013226A"/>
    <w:rsid w:val="001370E8"/>
    <w:rsid w:val="0014452D"/>
    <w:rsid w:val="0014661F"/>
    <w:rsid w:val="00152CB5"/>
    <w:rsid w:val="00153FC4"/>
    <w:rsid w:val="00155673"/>
    <w:rsid w:val="001564A9"/>
    <w:rsid w:val="00161ECF"/>
    <w:rsid w:val="00163C58"/>
    <w:rsid w:val="00165A3B"/>
    <w:rsid w:val="00185596"/>
    <w:rsid w:val="00194BF9"/>
    <w:rsid w:val="00196A86"/>
    <w:rsid w:val="0019762C"/>
    <w:rsid w:val="00197DA0"/>
    <w:rsid w:val="001A209B"/>
    <w:rsid w:val="001A56C4"/>
    <w:rsid w:val="001B0470"/>
    <w:rsid w:val="001B3D07"/>
    <w:rsid w:val="001C1CCC"/>
    <w:rsid w:val="001C20CD"/>
    <w:rsid w:val="001C4609"/>
    <w:rsid w:val="001C597C"/>
    <w:rsid w:val="001D6A0A"/>
    <w:rsid w:val="001D6CBB"/>
    <w:rsid w:val="001E1308"/>
    <w:rsid w:val="001E274D"/>
    <w:rsid w:val="001E3EA6"/>
    <w:rsid w:val="001E5FE2"/>
    <w:rsid w:val="001F1102"/>
    <w:rsid w:val="001F1D13"/>
    <w:rsid w:val="001F5F80"/>
    <w:rsid w:val="00204494"/>
    <w:rsid w:val="00210391"/>
    <w:rsid w:val="00210485"/>
    <w:rsid w:val="00210A67"/>
    <w:rsid w:val="0021595D"/>
    <w:rsid w:val="0021757A"/>
    <w:rsid w:val="00217AAC"/>
    <w:rsid w:val="00226442"/>
    <w:rsid w:val="0022690B"/>
    <w:rsid w:val="00227E54"/>
    <w:rsid w:val="00231F82"/>
    <w:rsid w:val="0023277F"/>
    <w:rsid w:val="00234755"/>
    <w:rsid w:val="002504F6"/>
    <w:rsid w:val="002605A0"/>
    <w:rsid w:val="00272307"/>
    <w:rsid w:val="00277A17"/>
    <w:rsid w:val="0028243C"/>
    <w:rsid w:val="00283E28"/>
    <w:rsid w:val="00284E2D"/>
    <w:rsid w:val="002858AA"/>
    <w:rsid w:val="0028605A"/>
    <w:rsid w:val="002924C0"/>
    <w:rsid w:val="002A0680"/>
    <w:rsid w:val="002A3F40"/>
    <w:rsid w:val="002A4474"/>
    <w:rsid w:val="002B1FD5"/>
    <w:rsid w:val="002B2372"/>
    <w:rsid w:val="002B4604"/>
    <w:rsid w:val="002B578B"/>
    <w:rsid w:val="002C0D6C"/>
    <w:rsid w:val="002C687E"/>
    <w:rsid w:val="002C68EE"/>
    <w:rsid w:val="002D17D3"/>
    <w:rsid w:val="002D42D4"/>
    <w:rsid w:val="002E2575"/>
    <w:rsid w:val="002F3C7F"/>
    <w:rsid w:val="002F6504"/>
    <w:rsid w:val="002F6C54"/>
    <w:rsid w:val="00301B62"/>
    <w:rsid w:val="00302833"/>
    <w:rsid w:val="00303AF8"/>
    <w:rsid w:val="0030781A"/>
    <w:rsid w:val="003146B4"/>
    <w:rsid w:val="00314884"/>
    <w:rsid w:val="003229F4"/>
    <w:rsid w:val="00331797"/>
    <w:rsid w:val="00335820"/>
    <w:rsid w:val="00354D07"/>
    <w:rsid w:val="00356E77"/>
    <w:rsid w:val="00363726"/>
    <w:rsid w:val="003660FF"/>
    <w:rsid w:val="003676E8"/>
    <w:rsid w:val="00371BE1"/>
    <w:rsid w:val="00371DED"/>
    <w:rsid w:val="003720DE"/>
    <w:rsid w:val="003801DC"/>
    <w:rsid w:val="00381652"/>
    <w:rsid w:val="00382542"/>
    <w:rsid w:val="00382772"/>
    <w:rsid w:val="003A1651"/>
    <w:rsid w:val="003B1C80"/>
    <w:rsid w:val="003B1D41"/>
    <w:rsid w:val="003B3334"/>
    <w:rsid w:val="003B3725"/>
    <w:rsid w:val="003B38FD"/>
    <w:rsid w:val="003B7853"/>
    <w:rsid w:val="003C18C3"/>
    <w:rsid w:val="003C1F07"/>
    <w:rsid w:val="003C2797"/>
    <w:rsid w:val="003C2D3E"/>
    <w:rsid w:val="003C46A7"/>
    <w:rsid w:val="003C48FF"/>
    <w:rsid w:val="003E5878"/>
    <w:rsid w:val="003F6789"/>
    <w:rsid w:val="003F6974"/>
    <w:rsid w:val="00400A1E"/>
    <w:rsid w:val="00400FFD"/>
    <w:rsid w:val="004058A0"/>
    <w:rsid w:val="00410B7B"/>
    <w:rsid w:val="00413265"/>
    <w:rsid w:val="00430B06"/>
    <w:rsid w:val="004352EC"/>
    <w:rsid w:val="0044060A"/>
    <w:rsid w:val="00441F20"/>
    <w:rsid w:val="0044207F"/>
    <w:rsid w:val="00443A25"/>
    <w:rsid w:val="0044652F"/>
    <w:rsid w:val="00446748"/>
    <w:rsid w:val="004538BE"/>
    <w:rsid w:val="004555B9"/>
    <w:rsid w:val="00471BA4"/>
    <w:rsid w:val="00476EC5"/>
    <w:rsid w:val="00483A2B"/>
    <w:rsid w:val="00486045"/>
    <w:rsid w:val="00487B83"/>
    <w:rsid w:val="00494ED6"/>
    <w:rsid w:val="004A079A"/>
    <w:rsid w:val="004A140C"/>
    <w:rsid w:val="004B2BC4"/>
    <w:rsid w:val="004D0B93"/>
    <w:rsid w:val="004D224A"/>
    <w:rsid w:val="004D33E4"/>
    <w:rsid w:val="004E1F83"/>
    <w:rsid w:val="004E4960"/>
    <w:rsid w:val="004F118C"/>
    <w:rsid w:val="004F56AE"/>
    <w:rsid w:val="004F59BD"/>
    <w:rsid w:val="004F6226"/>
    <w:rsid w:val="00501EB9"/>
    <w:rsid w:val="0050459F"/>
    <w:rsid w:val="0050473D"/>
    <w:rsid w:val="00507B75"/>
    <w:rsid w:val="005105B3"/>
    <w:rsid w:val="00517329"/>
    <w:rsid w:val="00522100"/>
    <w:rsid w:val="005250DB"/>
    <w:rsid w:val="00530982"/>
    <w:rsid w:val="00534FD4"/>
    <w:rsid w:val="00540102"/>
    <w:rsid w:val="00542D68"/>
    <w:rsid w:val="00545987"/>
    <w:rsid w:val="00546571"/>
    <w:rsid w:val="00547AFB"/>
    <w:rsid w:val="00551A13"/>
    <w:rsid w:val="00562032"/>
    <w:rsid w:val="00567538"/>
    <w:rsid w:val="00585BC3"/>
    <w:rsid w:val="00595A36"/>
    <w:rsid w:val="005A3D5D"/>
    <w:rsid w:val="005A62B8"/>
    <w:rsid w:val="005A7158"/>
    <w:rsid w:val="005B028A"/>
    <w:rsid w:val="005B1766"/>
    <w:rsid w:val="005B47EE"/>
    <w:rsid w:val="005C217F"/>
    <w:rsid w:val="005D0CAB"/>
    <w:rsid w:val="005D3792"/>
    <w:rsid w:val="005D7A1D"/>
    <w:rsid w:val="005E70CF"/>
    <w:rsid w:val="005F2751"/>
    <w:rsid w:val="00601F61"/>
    <w:rsid w:val="00603899"/>
    <w:rsid w:val="0060450F"/>
    <w:rsid w:val="00606A71"/>
    <w:rsid w:val="00607F5F"/>
    <w:rsid w:val="00610063"/>
    <w:rsid w:val="00620A1C"/>
    <w:rsid w:val="00620F8B"/>
    <w:rsid w:val="00622035"/>
    <w:rsid w:val="0062296E"/>
    <w:rsid w:val="00625790"/>
    <w:rsid w:val="006261DB"/>
    <w:rsid w:val="006275D2"/>
    <w:rsid w:val="00643487"/>
    <w:rsid w:val="006456EA"/>
    <w:rsid w:val="00650031"/>
    <w:rsid w:val="00650098"/>
    <w:rsid w:val="0065134B"/>
    <w:rsid w:val="00652634"/>
    <w:rsid w:val="0066159A"/>
    <w:rsid w:val="00662F41"/>
    <w:rsid w:val="00662FE2"/>
    <w:rsid w:val="00671622"/>
    <w:rsid w:val="006716D9"/>
    <w:rsid w:val="00677BD5"/>
    <w:rsid w:val="00695AF3"/>
    <w:rsid w:val="006A6C5A"/>
    <w:rsid w:val="006B1E0E"/>
    <w:rsid w:val="006B33FB"/>
    <w:rsid w:val="006B343C"/>
    <w:rsid w:val="006B580D"/>
    <w:rsid w:val="006C38CF"/>
    <w:rsid w:val="006C4DB0"/>
    <w:rsid w:val="006C74CF"/>
    <w:rsid w:val="006D2454"/>
    <w:rsid w:val="006D4AE2"/>
    <w:rsid w:val="006E2242"/>
    <w:rsid w:val="006F0355"/>
    <w:rsid w:val="006F6BF5"/>
    <w:rsid w:val="00707D96"/>
    <w:rsid w:val="00714526"/>
    <w:rsid w:val="00735E75"/>
    <w:rsid w:val="007372D8"/>
    <w:rsid w:val="00742E40"/>
    <w:rsid w:val="007454CD"/>
    <w:rsid w:val="007513B6"/>
    <w:rsid w:val="00753179"/>
    <w:rsid w:val="007616E6"/>
    <w:rsid w:val="00777C33"/>
    <w:rsid w:val="00784FD7"/>
    <w:rsid w:val="00786970"/>
    <w:rsid w:val="00787539"/>
    <w:rsid w:val="00791240"/>
    <w:rsid w:val="00794AF7"/>
    <w:rsid w:val="00797093"/>
    <w:rsid w:val="00797480"/>
    <w:rsid w:val="007A56D1"/>
    <w:rsid w:val="007A7833"/>
    <w:rsid w:val="007B0A41"/>
    <w:rsid w:val="007B51CA"/>
    <w:rsid w:val="007C6E1A"/>
    <w:rsid w:val="007C7928"/>
    <w:rsid w:val="007D190E"/>
    <w:rsid w:val="007D5BDF"/>
    <w:rsid w:val="007E1FCE"/>
    <w:rsid w:val="007E5D5A"/>
    <w:rsid w:val="007F60D3"/>
    <w:rsid w:val="007F7AFC"/>
    <w:rsid w:val="008047D8"/>
    <w:rsid w:val="00806506"/>
    <w:rsid w:val="00817A1D"/>
    <w:rsid w:val="008235FE"/>
    <w:rsid w:val="00825443"/>
    <w:rsid w:val="00834419"/>
    <w:rsid w:val="00834C91"/>
    <w:rsid w:val="00841D91"/>
    <w:rsid w:val="00841F6E"/>
    <w:rsid w:val="00842047"/>
    <w:rsid w:val="0084247D"/>
    <w:rsid w:val="0084725B"/>
    <w:rsid w:val="00855194"/>
    <w:rsid w:val="00855349"/>
    <w:rsid w:val="00862618"/>
    <w:rsid w:val="008870FA"/>
    <w:rsid w:val="008965B6"/>
    <w:rsid w:val="008A2E82"/>
    <w:rsid w:val="008A4E97"/>
    <w:rsid w:val="008A6D58"/>
    <w:rsid w:val="008B086C"/>
    <w:rsid w:val="008B2385"/>
    <w:rsid w:val="008B750B"/>
    <w:rsid w:val="008B772F"/>
    <w:rsid w:val="008C32D8"/>
    <w:rsid w:val="008C74E9"/>
    <w:rsid w:val="008C79DA"/>
    <w:rsid w:val="008D4CCD"/>
    <w:rsid w:val="008D7C05"/>
    <w:rsid w:val="008E20A5"/>
    <w:rsid w:val="008E4219"/>
    <w:rsid w:val="008E6D57"/>
    <w:rsid w:val="008E7911"/>
    <w:rsid w:val="0090163D"/>
    <w:rsid w:val="00904154"/>
    <w:rsid w:val="0091083A"/>
    <w:rsid w:val="00910F8C"/>
    <w:rsid w:val="009118D2"/>
    <w:rsid w:val="00913142"/>
    <w:rsid w:val="00913BB5"/>
    <w:rsid w:val="009149A5"/>
    <w:rsid w:val="00916C4B"/>
    <w:rsid w:val="009172EE"/>
    <w:rsid w:val="00920BD6"/>
    <w:rsid w:val="0092740F"/>
    <w:rsid w:val="0093270F"/>
    <w:rsid w:val="00936E73"/>
    <w:rsid w:val="00940C00"/>
    <w:rsid w:val="00944445"/>
    <w:rsid w:val="00944856"/>
    <w:rsid w:val="009612E1"/>
    <w:rsid w:val="009619A7"/>
    <w:rsid w:val="009632BE"/>
    <w:rsid w:val="00967D4C"/>
    <w:rsid w:val="009813E0"/>
    <w:rsid w:val="00982496"/>
    <w:rsid w:val="0098380F"/>
    <w:rsid w:val="009851C6"/>
    <w:rsid w:val="00987721"/>
    <w:rsid w:val="00992DA9"/>
    <w:rsid w:val="009A0760"/>
    <w:rsid w:val="009B0A2C"/>
    <w:rsid w:val="009C590D"/>
    <w:rsid w:val="009C5A67"/>
    <w:rsid w:val="009D107C"/>
    <w:rsid w:val="009D1DC5"/>
    <w:rsid w:val="009D54CC"/>
    <w:rsid w:val="009E005C"/>
    <w:rsid w:val="009E2BF5"/>
    <w:rsid w:val="009E49A3"/>
    <w:rsid w:val="009F7165"/>
    <w:rsid w:val="00A01DE3"/>
    <w:rsid w:val="00A075D4"/>
    <w:rsid w:val="00A1020F"/>
    <w:rsid w:val="00A118BC"/>
    <w:rsid w:val="00A14D37"/>
    <w:rsid w:val="00A24BF5"/>
    <w:rsid w:val="00A24FF4"/>
    <w:rsid w:val="00A313AF"/>
    <w:rsid w:val="00A31B7B"/>
    <w:rsid w:val="00A33AE0"/>
    <w:rsid w:val="00A34F16"/>
    <w:rsid w:val="00A364FC"/>
    <w:rsid w:val="00A4121D"/>
    <w:rsid w:val="00A41366"/>
    <w:rsid w:val="00A455D9"/>
    <w:rsid w:val="00A504BC"/>
    <w:rsid w:val="00A538C2"/>
    <w:rsid w:val="00A555DC"/>
    <w:rsid w:val="00A67948"/>
    <w:rsid w:val="00A72D32"/>
    <w:rsid w:val="00A732D9"/>
    <w:rsid w:val="00A77C32"/>
    <w:rsid w:val="00A805B7"/>
    <w:rsid w:val="00A85A52"/>
    <w:rsid w:val="00A875AD"/>
    <w:rsid w:val="00A87B24"/>
    <w:rsid w:val="00A9047C"/>
    <w:rsid w:val="00A90C12"/>
    <w:rsid w:val="00A94BB2"/>
    <w:rsid w:val="00AA1DC6"/>
    <w:rsid w:val="00AA3CFB"/>
    <w:rsid w:val="00AA52BC"/>
    <w:rsid w:val="00AB0443"/>
    <w:rsid w:val="00AC049C"/>
    <w:rsid w:val="00AC273A"/>
    <w:rsid w:val="00AC30A1"/>
    <w:rsid w:val="00AC6CE4"/>
    <w:rsid w:val="00AD33CB"/>
    <w:rsid w:val="00AE06D4"/>
    <w:rsid w:val="00AE384F"/>
    <w:rsid w:val="00AE4668"/>
    <w:rsid w:val="00AE5DAF"/>
    <w:rsid w:val="00AE6AEA"/>
    <w:rsid w:val="00AF0030"/>
    <w:rsid w:val="00B00CAB"/>
    <w:rsid w:val="00B04492"/>
    <w:rsid w:val="00B054EF"/>
    <w:rsid w:val="00B064F4"/>
    <w:rsid w:val="00B069A7"/>
    <w:rsid w:val="00B16925"/>
    <w:rsid w:val="00B2450F"/>
    <w:rsid w:val="00B32472"/>
    <w:rsid w:val="00B36969"/>
    <w:rsid w:val="00B408D7"/>
    <w:rsid w:val="00B43AE5"/>
    <w:rsid w:val="00B43D53"/>
    <w:rsid w:val="00B44354"/>
    <w:rsid w:val="00B47C36"/>
    <w:rsid w:val="00B55C7D"/>
    <w:rsid w:val="00B61498"/>
    <w:rsid w:val="00B92804"/>
    <w:rsid w:val="00BA0784"/>
    <w:rsid w:val="00BA6D1C"/>
    <w:rsid w:val="00BB78D1"/>
    <w:rsid w:val="00BC1164"/>
    <w:rsid w:val="00BC3902"/>
    <w:rsid w:val="00BC7247"/>
    <w:rsid w:val="00BD0270"/>
    <w:rsid w:val="00BD5B81"/>
    <w:rsid w:val="00BE1D81"/>
    <w:rsid w:val="00BE24ED"/>
    <w:rsid w:val="00BE66B4"/>
    <w:rsid w:val="00BF16DE"/>
    <w:rsid w:val="00C03148"/>
    <w:rsid w:val="00C075DE"/>
    <w:rsid w:val="00C11D2E"/>
    <w:rsid w:val="00C16E55"/>
    <w:rsid w:val="00C20F55"/>
    <w:rsid w:val="00C22DD4"/>
    <w:rsid w:val="00C22E5A"/>
    <w:rsid w:val="00C24011"/>
    <w:rsid w:val="00C24E8A"/>
    <w:rsid w:val="00C26134"/>
    <w:rsid w:val="00C30894"/>
    <w:rsid w:val="00C51DCA"/>
    <w:rsid w:val="00C55BB4"/>
    <w:rsid w:val="00C560E4"/>
    <w:rsid w:val="00C61CBF"/>
    <w:rsid w:val="00C64A52"/>
    <w:rsid w:val="00C70E8B"/>
    <w:rsid w:val="00C72A81"/>
    <w:rsid w:val="00C776E8"/>
    <w:rsid w:val="00C81154"/>
    <w:rsid w:val="00C8378F"/>
    <w:rsid w:val="00C83AB5"/>
    <w:rsid w:val="00C87917"/>
    <w:rsid w:val="00CA0C6D"/>
    <w:rsid w:val="00CA1A96"/>
    <w:rsid w:val="00CB05B6"/>
    <w:rsid w:val="00CB3034"/>
    <w:rsid w:val="00CB5BE5"/>
    <w:rsid w:val="00CC163F"/>
    <w:rsid w:val="00CC2575"/>
    <w:rsid w:val="00CC3E58"/>
    <w:rsid w:val="00CC56A8"/>
    <w:rsid w:val="00CC76B7"/>
    <w:rsid w:val="00CD0679"/>
    <w:rsid w:val="00CD3D3A"/>
    <w:rsid w:val="00CD4655"/>
    <w:rsid w:val="00CE0585"/>
    <w:rsid w:val="00CE13AD"/>
    <w:rsid w:val="00CE1E35"/>
    <w:rsid w:val="00CE6C6E"/>
    <w:rsid w:val="00CF0759"/>
    <w:rsid w:val="00CF501F"/>
    <w:rsid w:val="00CF5C04"/>
    <w:rsid w:val="00D01B3D"/>
    <w:rsid w:val="00D116F4"/>
    <w:rsid w:val="00D132F8"/>
    <w:rsid w:val="00D17FE0"/>
    <w:rsid w:val="00D222FB"/>
    <w:rsid w:val="00D22CDE"/>
    <w:rsid w:val="00D31763"/>
    <w:rsid w:val="00D335C1"/>
    <w:rsid w:val="00D34388"/>
    <w:rsid w:val="00D36574"/>
    <w:rsid w:val="00D47176"/>
    <w:rsid w:val="00D5054D"/>
    <w:rsid w:val="00D5408A"/>
    <w:rsid w:val="00D62E58"/>
    <w:rsid w:val="00D643EB"/>
    <w:rsid w:val="00D749B6"/>
    <w:rsid w:val="00D74AD8"/>
    <w:rsid w:val="00D759C1"/>
    <w:rsid w:val="00D80D24"/>
    <w:rsid w:val="00D85099"/>
    <w:rsid w:val="00D862ED"/>
    <w:rsid w:val="00D864D6"/>
    <w:rsid w:val="00D8730D"/>
    <w:rsid w:val="00D87630"/>
    <w:rsid w:val="00D9022B"/>
    <w:rsid w:val="00D9086E"/>
    <w:rsid w:val="00D96C08"/>
    <w:rsid w:val="00D978F9"/>
    <w:rsid w:val="00DA4694"/>
    <w:rsid w:val="00DA5368"/>
    <w:rsid w:val="00DC4D61"/>
    <w:rsid w:val="00DD3A13"/>
    <w:rsid w:val="00DD7163"/>
    <w:rsid w:val="00DE18A3"/>
    <w:rsid w:val="00DE23BD"/>
    <w:rsid w:val="00DE512D"/>
    <w:rsid w:val="00DF3FF3"/>
    <w:rsid w:val="00DF5050"/>
    <w:rsid w:val="00E025EE"/>
    <w:rsid w:val="00E27979"/>
    <w:rsid w:val="00E343B0"/>
    <w:rsid w:val="00E35E8E"/>
    <w:rsid w:val="00E369A9"/>
    <w:rsid w:val="00E42FE8"/>
    <w:rsid w:val="00E439D6"/>
    <w:rsid w:val="00E449DE"/>
    <w:rsid w:val="00E45FDA"/>
    <w:rsid w:val="00E463FD"/>
    <w:rsid w:val="00E50BC4"/>
    <w:rsid w:val="00E51508"/>
    <w:rsid w:val="00E517A9"/>
    <w:rsid w:val="00E60DAB"/>
    <w:rsid w:val="00E643B9"/>
    <w:rsid w:val="00E67BEA"/>
    <w:rsid w:val="00E7271F"/>
    <w:rsid w:val="00E72900"/>
    <w:rsid w:val="00E81F29"/>
    <w:rsid w:val="00E873ED"/>
    <w:rsid w:val="00E878B6"/>
    <w:rsid w:val="00E87DDD"/>
    <w:rsid w:val="00E93BA4"/>
    <w:rsid w:val="00E959EE"/>
    <w:rsid w:val="00EA1BC2"/>
    <w:rsid w:val="00EA364A"/>
    <w:rsid w:val="00EB112E"/>
    <w:rsid w:val="00EB3F16"/>
    <w:rsid w:val="00EC07D1"/>
    <w:rsid w:val="00EC2117"/>
    <w:rsid w:val="00EC2BBB"/>
    <w:rsid w:val="00EC5EF1"/>
    <w:rsid w:val="00ED0475"/>
    <w:rsid w:val="00ED1CCF"/>
    <w:rsid w:val="00ED2135"/>
    <w:rsid w:val="00ED4BD6"/>
    <w:rsid w:val="00ED6CE4"/>
    <w:rsid w:val="00EE1CF8"/>
    <w:rsid w:val="00EE5285"/>
    <w:rsid w:val="00EF5966"/>
    <w:rsid w:val="00F070C2"/>
    <w:rsid w:val="00F10E22"/>
    <w:rsid w:val="00F10FA3"/>
    <w:rsid w:val="00F1353B"/>
    <w:rsid w:val="00F15DD9"/>
    <w:rsid w:val="00F223AF"/>
    <w:rsid w:val="00F264F9"/>
    <w:rsid w:val="00F466C7"/>
    <w:rsid w:val="00F57291"/>
    <w:rsid w:val="00F57EDE"/>
    <w:rsid w:val="00F612DA"/>
    <w:rsid w:val="00F6736A"/>
    <w:rsid w:val="00F6775D"/>
    <w:rsid w:val="00F70523"/>
    <w:rsid w:val="00F765A5"/>
    <w:rsid w:val="00F76755"/>
    <w:rsid w:val="00F81770"/>
    <w:rsid w:val="00F83802"/>
    <w:rsid w:val="00F8569E"/>
    <w:rsid w:val="00F859D9"/>
    <w:rsid w:val="00F91E27"/>
    <w:rsid w:val="00F923E9"/>
    <w:rsid w:val="00FA2C99"/>
    <w:rsid w:val="00FA4053"/>
    <w:rsid w:val="00FA43BB"/>
    <w:rsid w:val="00FA4F7E"/>
    <w:rsid w:val="00FA529E"/>
    <w:rsid w:val="00FA5D3B"/>
    <w:rsid w:val="00FB766D"/>
    <w:rsid w:val="00FC0425"/>
    <w:rsid w:val="00FC2366"/>
    <w:rsid w:val="00FC762F"/>
    <w:rsid w:val="00FD0FAB"/>
    <w:rsid w:val="00FD717C"/>
    <w:rsid w:val="00FE19B6"/>
    <w:rsid w:val="00FE2702"/>
    <w:rsid w:val="00FE3E64"/>
    <w:rsid w:val="00FF1402"/>
    <w:rsid w:val="00FF55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E18EC"/>
  <w15:docId w15:val="{176ECB8F-F894-4FB4-91EB-04E0D21B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9A9"/>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E36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vuenotijeloteksta">
    <w:name w:val="Body Text Indent"/>
    <w:basedOn w:val="Normal"/>
    <w:link w:val="UvuenotijelotekstaChar"/>
    <w:rsid w:val="004058A0"/>
    <w:pPr>
      <w:ind w:firstLine="1496"/>
      <w:jc w:val="both"/>
    </w:pPr>
  </w:style>
  <w:style w:type="character" w:customStyle="1" w:styleId="UvuenotijelotekstaChar">
    <w:name w:val="Uvučeno tijelo teksta Char"/>
    <w:basedOn w:val="Zadanifontodlomka"/>
    <w:link w:val="Uvuenotijeloteksta"/>
    <w:rsid w:val="004058A0"/>
    <w:rPr>
      <w:rFonts w:ascii="Times New Roman" w:eastAsia="Times New Roman" w:hAnsi="Times New Roman" w:cs="Times New Roman"/>
      <w:sz w:val="24"/>
      <w:szCs w:val="24"/>
      <w:lang w:eastAsia="hr-HR"/>
    </w:rPr>
  </w:style>
  <w:style w:type="paragraph" w:styleId="Odlomakpopisa">
    <w:name w:val="List Paragraph"/>
    <w:basedOn w:val="Normal"/>
    <w:uiPriority w:val="34"/>
    <w:qFormat/>
    <w:rsid w:val="00E7271F"/>
    <w:pPr>
      <w:ind w:left="720"/>
      <w:contextualSpacing/>
    </w:pPr>
  </w:style>
  <w:style w:type="paragraph" w:styleId="Tekstbalonia">
    <w:name w:val="Balloon Text"/>
    <w:basedOn w:val="Normal"/>
    <w:link w:val="TekstbaloniaChar"/>
    <w:uiPriority w:val="99"/>
    <w:semiHidden/>
    <w:unhideWhenUsed/>
    <w:rsid w:val="009851C6"/>
    <w:rPr>
      <w:rFonts w:ascii="Tahoma" w:hAnsi="Tahoma" w:cs="Tahoma"/>
      <w:sz w:val="16"/>
      <w:szCs w:val="16"/>
    </w:rPr>
  </w:style>
  <w:style w:type="character" w:customStyle="1" w:styleId="TekstbaloniaChar">
    <w:name w:val="Tekst balončića Char"/>
    <w:basedOn w:val="Zadanifontodlomka"/>
    <w:link w:val="Tekstbalonia"/>
    <w:uiPriority w:val="99"/>
    <w:semiHidden/>
    <w:rsid w:val="009851C6"/>
    <w:rPr>
      <w:rFonts w:ascii="Tahoma" w:eastAsia="Times New Roman" w:hAnsi="Tahoma" w:cs="Tahoma"/>
      <w:sz w:val="16"/>
      <w:szCs w:val="16"/>
      <w:lang w:eastAsia="hr-HR"/>
    </w:rPr>
  </w:style>
  <w:style w:type="paragraph" w:styleId="Opisslike">
    <w:name w:val="caption"/>
    <w:basedOn w:val="Normal"/>
    <w:next w:val="Normal"/>
    <w:uiPriority w:val="35"/>
    <w:unhideWhenUsed/>
    <w:qFormat/>
    <w:rsid w:val="003146B4"/>
    <w:pPr>
      <w:spacing w:after="200"/>
    </w:pPr>
    <w:rPr>
      <w:b/>
      <w:bCs/>
      <w:color w:val="4F81BD" w:themeColor="accent1"/>
      <w:sz w:val="18"/>
      <w:szCs w:val="18"/>
    </w:rPr>
  </w:style>
  <w:style w:type="character" w:styleId="Referencakomentara">
    <w:name w:val="annotation reference"/>
    <w:basedOn w:val="Zadanifontodlomka"/>
    <w:uiPriority w:val="99"/>
    <w:semiHidden/>
    <w:unhideWhenUsed/>
    <w:rsid w:val="00791240"/>
    <w:rPr>
      <w:sz w:val="16"/>
      <w:szCs w:val="16"/>
    </w:rPr>
  </w:style>
  <w:style w:type="paragraph" w:styleId="Tekstkomentara">
    <w:name w:val="annotation text"/>
    <w:basedOn w:val="Normal"/>
    <w:link w:val="TekstkomentaraChar"/>
    <w:uiPriority w:val="99"/>
    <w:semiHidden/>
    <w:unhideWhenUsed/>
    <w:rsid w:val="00791240"/>
    <w:rPr>
      <w:sz w:val="20"/>
      <w:szCs w:val="20"/>
    </w:rPr>
  </w:style>
  <w:style w:type="character" w:customStyle="1" w:styleId="TekstkomentaraChar">
    <w:name w:val="Tekst komentara Char"/>
    <w:basedOn w:val="Zadanifontodlomka"/>
    <w:link w:val="Tekstkomentara"/>
    <w:uiPriority w:val="99"/>
    <w:semiHidden/>
    <w:rsid w:val="00791240"/>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791240"/>
    <w:rPr>
      <w:b/>
      <w:bCs/>
    </w:rPr>
  </w:style>
  <w:style w:type="character" w:customStyle="1" w:styleId="PredmetkomentaraChar">
    <w:name w:val="Predmet komentara Char"/>
    <w:basedOn w:val="TekstkomentaraChar"/>
    <w:link w:val="Predmetkomentara"/>
    <w:uiPriority w:val="99"/>
    <w:semiHidden/>
    <w:rsid w:val="00791240"/>
    <w:rPr>
      <w:rFonts w:ascii="Times New Roman" w:eastAsia="Times New Roman" w:hAnsi="Times New Roman" w:cs="Times New Roman"/>
      <w:b/>
      <w:bCs/>
      <w:sz w:val="20"/>
      <w:szCs w:val="20"/>
      <w:lang w:eastAsia="hr-HR"/>
    </w:rPr>
  </w:style>
  <w:style w:type="paragraph" w:styleId="Naslov">
    <w:name w:val="Title"/>
    <w:basedOn w:val="Normal"/>
    <w:link w:val="NaslovChar"/>
    <w:qFormat/>
    <w:rsid w:val="008A2E82"/>
    <w:pPr>
      <w:jc w:val="center"/>
    </w:pPr>
    <w:rPr>
      <w:b/>
      <w:bCs/>
      <w:sz w:val="28"/>
    </w:rPr>
  </w:style>
  <w:style w:type="character" w:customStyle="1" w:styleId="NaslovChar">
    <w:name w:val="Naslov Char"/>
    <w:basedOn w:val="Zadanifontodlomka"/>
    <w:link w:val="Naslov"/>
    <w:rsid w:val="008A2E82"/>
    <w:rPr>
      <w:rFonts w:ascii="Times New Roman" w:eastAsia="Times New Roman" w:hAnsi="Times New Roman" w:cs="Times New Roman"/>
      <w:b/>
      <w:bCs/>
      <w:sz w:val="28"/>
      <w:szCs w:val="24"/>
      <w:lang w:eastAsia="hr-HR"/>
    </w:rPr>
  </w:style>
  <w:style w:type="paragraph" w:styleId="Zaglavlje">
    <w:name w:val="header"/>
    <w:basedOn w:val="Normal"/>
    <w:link w:val="ZaglavljeChar"/>
    <w:uiPriority w:val="99"/>
    <w:unhideWhenUsed/>
    <w:rsid w:val="0060450F"/>
    <w:pPr>
      <w:tabs>
        <w:tab w:val="center" w:pos="4536"/>
        <w:tab w:val="right" w:pos="9072"/>
      </w:tabs>
    </w:pPr>
  </w:style>
  <w:style w:type="character" w:customStyle="1" w:styleId="ZaglavljeChar">
    <w:name w:val="Zaglavlje Char"/>
    <w:basedOn w:val="Zadanifontodlomka"/>
    <w:link w:val="Zaglavlje"/>
    <w:uiPriority w:val="99"/>
    <w:rsid w:val="0060450F"/>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60450F"/>
    <w:pPr>
      <w:tabs>
        <w:tab w:val="center" w:pos="4536"/>
        <w:tab w:val="right" w:pos="9072"/>
      </w:tabs>
    </w:pPr>
  </w:style>
  <w:style w:type="character" w:customStyle="1" w:styleId="PodnojeChar">
    <w:name w:val="Podnožje Char"/>
    <w:basedOn w:val="Zadanifontodlomka"/>
    <w:link w:val="Podnoje"/>
    <w:uiPriority w:val="99"/>
    <w:rsid w:val="0060450F"/>
    <w:rPr>
      <w:rFonts w:ascii="Times New Roman" w:eastAsia="Times New Roman" w:hAnsi="Times New Roman" w:cs="Times New Roman"/>
      <w:sz w:val="24"/>
      <w:szCs w:val="24"/>
      <w:lang w:eastAsia="hr-HR"/>
    </w:rPr>
  </w:style>
  <w:style w:type="paragraph" w:customStyle="1" w:styleId="box474667">
    <w:name w:val="box_474667"/>
    <w:basedOn w:val="Normal"/>
    <w:rsid w:val="00CA1A9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994">
      <w:bodyDiv w:val="1"/>
      <w:marLeft w:val="0"/>
      <w:marRight w:val="0"/>
      <w:marTop w:val="0"/>
      <w:marBottom w:val="0"/>
      <w:divBdr>
        <w:top w:val="none" w:sz="0" w:space="0" w:color="auto"/>
        <w:left w:val="none" w:sz="0" w:space="0" w:color="auto"/>
        <w:bottom w:val="none" w:sz="0" w:space="0" w:color="auto"/>
        <w:right w:val="none" w:sz="0" w:space="0" w:color="auto"/>
      </w:divBdr>
    </w:div>
    <w:div w:id="39133692">
      <w:bodyDiv w:val="1"/>
      <w:marLeft w:val="0"/>
      <w:marRight w:val="0"/>
      <w:marTop w:val="0"/>
      <w:marBottom w:val="0"/>
      <w:divBdr>
        <w:top w:val="none" w:sz="0" w:space="0" w:color="auto"/>
        <w:left w:val="none" w:sz="0" w:space="0" w:color="auto"/>
        <w:bottom w:val="none" w:sz="0" w:space="0" w:color="auto"/>
        <w:right w:val="none" w:sz="0" w:space="0" w:color="auto"/>
      </w:divBdr>
    </w:div>
    <w:div w:id="65693006">
      <w:bodyDiv w:val="1"/>
      <w:marLeft w:val="0"/>
      <w:marRight w:val="0"/>
      <w:marTop w:val="0"/>
      <w:marBottom w:val="0"/>
      <w:divBdr>
        <w:top w:val="none" w:sz="0" w:space="0" w:color="auto"/>
        <w:left w:val="none" w:sz="0" w:space="0" w:color="auto"/>
        <w:bottom w:val="none" w:sz="0" w:space="0" w:color="auto"/>
        <w:right w:val="none" w:sz="0" w:space="0" w:color="auto"/>
      </w:divBdr>
    </w:div>
    <w:div w:id="177697074">
      <w:bodyDiv w:val="1"/>
      <w:marLeft w:val="0"/>
      <w:marRight w:val="0"/>
      <w:marTop w:val="0"/>
      <w:marBottom w:val="0"/>
      <w:divBdr>
        <w:top w:val="none" w:sz="0" w:space="0" w:color="auto"/>
        <w:left w:val="none" w:sz="0" w:space="0" w:color="auto"/>
        <w:bottom w:val="none" w:sz="0" w:space="0" w:color="auto"/>
        <w:right w:val="none" w:sz="0" w:space="0" w:color="auto"/>
      </w:divBdr>
    </w:div>
    <w:div w:id="194975360">
      <w:bodyDiv w:val="1"/>
      <w:marLeft w:val="0"/>
      <w:marRight w:val="0"/>
      <w:marTop w:val="0"/>
      <w:marBottom w:val="0"/>
      <w:divBdr>
        <w:top w:val="none" w:sz="0" w:space="0" w:color="auto"/>
        <w:left w:val="none" w:sz="0" w:space="0" w:color="auto"/>
        <w:bottom w:val="none" w:sz="0" w:space="0" w:color="auto"/>
        <w:right w:val="none" w:sz="0" w:space="0" w:color="auto"/>
      </w:divBdr>
    </w:div>
    <w:div w:id="423382575">
      <w:bodyDiv w:val="1"/>
      <w:marLeft w:val="0"/>
      <w:marRight w:val="0"/>
      <w:marTop w:val="0"/>
      <w:marBottom w:val="0"/>
      <w:divBdr>
        <w:top w:val="none" w:sz="0" w:space="0" w:color="auto"/>
        <w:left w:val="none" w:sz="0" w:space="0" w:color="auto"/>
        <w:bottom w:val="none" w:sz="0" w:space="0" w:color="auto"/>
        <w:right w:val="none" w:sz="0" w:space="0" w:color="auto"/>
      </w:divBdr>
    </w:div>
    <w:div w:id="578293594">
      <w:bodyDiv w:val="1"/>
      <w:marLeft w:val="0"/>
      <w:marRight w:val="0"/>
      <w:marTop w:val="0"/>
      <w:marBottom w:val="0"/>
      <w:divBdr>
        <w:top w:val="none" w:sz="0" w:space="0" w:color="auto"/>
        <w:left w:val="none" w:sz="0" w:space="0" w:color="auto"/>
        <w:bottom w:val="none" w:sz="0" w:space="0" w:color="auto"/>
        <w:right w:val="none" w:sz="0" w:space="0" w:color="auto"/>
      </w:divBdr>
    </w:div>
    <w:div w:id="635649849">
      <w:bodyDiv w:val="1"/>
      <w:marLeft w:val="0"/>
      <w:marRight w:val="0"/>
      <w:marTop w:val="0"/>
      <w:marBottom w:val="0"/>
      <w:divBdr>
        <w:top w:val="none" w:sz="0" w:space="0" w:color="auto"/>
        <w:left w:val="none" w:sz="0" w:space="0" w:color="auto"/>
        <w:bottom w:val="none" w:sz="0" w:space="0" w:color="auto"/>
        <w:right w:val="none" w:sz="0" w:space="0" w:color="auto"/>
      </w:divBdr>
    </w:div>
    <w:div w:id="725446948">
      <w:bodyDiv w:val="1"/>
      <w:marLeft w:val="0"/>
      <w:marRight w:val="0"/>
      <w:marTop w:val="0"/>
      <w:marBottom w:val="0"/>
      <w:divBdr>
        <w:top w:val="none" w:sz="0" w:space="0" w:color="auto"/>
        <w:left w:val="none" w:sz="0" w:space="0" w:color="auto"/>
        <w:bottom w:val="none" w:sz="0" w:space="0" w:color="auto"/>
        <w:right w:val="none" w:sz="0" w:space="0" w:color="auto"/>
      </w:divBdr>
    </w:div>
    <w:div w:id="793214662">
      <w:bodyDiv w:val="1"/>
      <w:marLeft w:val="0"/>
      <w:marRight w:val="0"/>
      <w:marTop w:val="0"/>
      <w:marBottom w:val="0"/>
      <w:divBdr>
        <w:top w:val="none" w:sz="0" w:space="0" w:color="auto"/>
        <w:left w:val="none" w:sz="0" w:space="0" w:color="auto"/>
        <w:bottom w:val="none" w:sz="0" w:space="0" w:color="auto"/>
        <w:right w:val="none" w:sz="0" w:space="0" w:color="auto"/>
      </w:divBdr>
    </w:div>
    <w:div w:id="860970539">
      <w:bodyDiv w:val="1"/>
      <w:marLeft w:val="0"/>
      <w:marRight w:val="0"/>
      <w:marTop w:val="0"/>
      <w:marBottom w:val="0"/>
      <w:divBdr>
        <w:top w:val="none" w:sz="0" w:space="0" w:color="auto"/>
        <w:left w:val="none" w:sz="0" w:space="0" w:color="auto"/>
        <w:bottom w:val="none" w:sz="0" w:space="0" w:color="auto"/>
        <w:right w:val="none" w:sz="0" w:space="0" w:color="auto"/>
      </w:divBdr>
    </w:div>
    <w:div w:id="861286339">
      <w:bodyDiv w:val="1"/>
      <w:marLeft w:val="0"/>
      <w:marRight w:val="0"/>
      <w:marTop w:val="0"/>
      <w:marBottom w:val="0"/>
      <w:divBdr>
        <w:top w:val="none" w:sz="0" w:space="0" w:color="auto"/>
        <w:left w:val="none" w:sz="0" w:space="0" w:color="auto"/>
        <w:bottom w:val="none" w:sz="0" w:space="0" w:color="auto"/>
        <w:right w:val="none" w:sz="0" w:space="0" w:color="auto"/>
      </w:divBdr>
    </w:div>
    <w:div w:id="1047752996">
      <w:bodyDiv w:val="1"/>
      <w:marLeft w:val="0"/>
      <w:marRight w:val="0"/>
      <w:marTop w:val="0"/>
      <w:marBottom w:val="0"/>
      <w:divBdr>
        <w:top w:val="none" w:sz="0" w:space="0" w:color="auto"/>
        <w:left w:val="none" w:sz="0" w:space="0" w:color="auto"/>
        <w:bottom w:val="none" w:sz="0" w:space="0" w:color="auto"/>
        <w:right w:val="none" w:sz="0" w:space="0" w:color="auto"/>
      </w:divBdr>
    </w:div>
    <w:div w:id="1125122740">
      <w:bodyDiv w:val="1"/>
      <w:marLeft w:val="0"/>
      <w:marRight w:val="0"/>
      <w:marTop w:val="0"/>
      <w:marBottom w:val="0"/>
      <w:divBdr>
        <w:top w:val="none" w:sz="0" w:space="0" w:color="auto"/>
        <w:left w:val="none" w:sz="0" w:space="0" w:color="auto"/>
        <w:bottom w:val="none" w:sz="0" w:space="0" w:color="auto"/>
        <w:right w:val="none" w:sz="0" w:space="0" w:color="auto"/>
      </w:divBdr>
    </w:div>
    <w:div w:id="1176310618">
      <w:bodyDiv w:val="1"/>
      <w:marLeft w:val="0"/>
      <w:marRight w:val="0"/>
      <w:marTop w:val="0"/>
      <w:marBottom w:val="0"/>
      <w:divBdr>
        <w:top w:val="none" w:sz="0" w:space="0" w:color="auto"/>
        <w:left w:val="none" w:sz="0" w:space="0" w:color="auto"/>
        <w:bottom w:val="none" w:sz="0" w:space="0" w:color="auto"/>
        <w:right w:val="none" w:sz="0" w:space="0" w:color="auto"/>
      </w:divBdr>
    </w:div>
    <w:div w:id="1177962141">
      <w:bodyDiv w:val="1"/>
      <w:marLeft w:val="0"/>
      <w:marRight w:val="0"/>
      <w:marTop w:val="0"/>
      <w:marBottom w:val="0"/>
      <w:divBdr>
        <w:top w:val="none" w:sz="0" w:space="0" w:color="auto"/>
        <w:left w:val="none" w:sz="0" w:space="0" w:color="auto"/>
        <w:bottom w:val="none" w:sz="0" w:space="0" w:color="auto"/>
        <w:right w:val="none" w:sz="0" w:space="0" w:color="auto"/>
      </w:divBdr>
      <w:divsChild>
        <w:div w:id="156073127">
          <w:marLeft w:val="0"/>
          <w:marRight w:val="0"/>
          <w:marTop w:val="0"/>
          <w:marBottom w:val="0"/>
          <w:divBdr>
            <w:top w:val="none" w:sz="0" w:space="0" w:color="auto"/>
            <w:left w:val="none" w:sz="0" w:space="0" w:color="auto"/>
            <w:bottom w:val="none" w:sz="0" w:space="0" w:color="auto"/>
            <w:right w:val="none" w:sz="0" w:space="0" w:color="auto"/>
          </w:divBdr>
          <w:divsChild>
            <w:div w:id="1307857759">
              <w:marLeft w:val="0"/>
              <w:marRight w:val="0"/>
              <w:marTop w:val="0"/>
              <w:marBottom w:val="0"/>
              <w:divBdr>
                <w:top w:val="none" w:sz="0" w:space="0" w:color="auto"/>
                <w:left w:val="none" w:sz="0" w:space="0" w:color="auto"/>
                <w:bottom w:val="none" w:sz="0" w:space="0" w:color="auto"/>
                <w:right w:val="none" w:sz="0" w:space="0" w:color="auto"/>
              </w:divBdr>
              <w:divsChild>
                <w:div w:id="1072311308">
                  <w:marLeft w:val="0"/>
                  <w:marRight w:val="0"/>
                  <w:marTop w:val="0"/>
                  <w:marBottom w:val="0"/>
                  <w:divBdr>
                    <w:top w:val="none" w:sz="0" w:space="0" w:color="auto"/>
                    <w:left w:val="none" w:sz="0" w:space="0" w:color="auto"/>
                    <w:bottom w:val="none" w:sz="0" w:space="0" w:color="auto"/>
                    <w:right w:val="none" w:sz="0" w:space="0" w:color="auto"/>
                  </w:divBdr>
                  <w:divsChild>
                    <w:div w:id="528957596">
                      <w:marLeft w:val="0"/>
                      <w:marRight w:val="0"/>
                      <w:marTop w:val="0"/>
                      <w:marBottom w:val="0"/>
                      <w:divBdr>
                        <w:top w:val="none" w:sz="0" w:space="0" w:color="auto"/>
                        <w:left w:val="none" w:sz="0" w:space="0" w:color="auto"/>
                        <w:bottom w:val="none" w:sz="0" w:space="0" w:color="auto"/>
                        <w:right w:val="none" w:sz="0" w:space="0" w:color="auto"/>
                      </w:divBdr>
                      <w:divsChild>
                        <w:div w:id="488252096">
                          <w:marLeft w:val="0"/>
                          <w:marRight w:val="0"/>
                          <w:marTop w:val="0"/>
                          <w:marBottom w:val="0"/>
                          <w:divBdr>
                            <w:top w:val="none" w:sz="0" w:space="0" w:color="auto"/>
                            <w:left w:val="none" w:sz="0" w:space="0" w:color="auto"/>
                            <w:bottom w:val="none" w:sz="0" w:space="0" w:color="auto"/>
                            <w:right w:val="none" w:sz="0" w:space="0" w:color="auto"/>
                          </w:divBdr>
                          <w:divsChild>
                            <w:div w:id="529534250">
                              <w:marLeft w:val="0"/>
                              <w:marRight w:val="0"/>
                              <w:marTop w:val="0"/>
                              <w:marBottom w:val="0"/>
                              <w:divBdr>
                                <w:top w:val="none" w:sz="0" w:space="0" w:color="auto"/>
                                <w:left w:val="none" w:sz="0" w:space="0" w:color="auto"/>
                                <w:bottom w:val="none" w:sz="0" w:space="0" w:color="auto"/>
                                <w:right w:val="none" w:sz="0" w:space="0" w:color="auto"/>
                              </w:divBdr>
                              <w:divsChild>
                                <w:div w:id="700940251">
                                  <w:marLeft w:val="0"/>
                                  <w:marRight w:val="0"/>
                                  <w:marTop w:val="0"/>
                                  <w:marBottom w:val="0"/>
                                  <w:divBdr>
                                    <w:top w:val="none" w:sz="0" w:space="0" w:color="auto"/>
                                    <w:left w:val="none" w:sz="0" w:space="0" w:color="auto"/>
                                    <w:bottom w:val="none" w:sz="0" w:space="0" w:color="auto"/>
                                    <w:right w:val="none" w:sz="0" w:space="0" w:color="auto"/>
                                  </w:divBdr>
                                  <w:divsChild>
                                    <w:div w:id="141580715">
                                      <w:marLeft w:val="0"/>
                                      <w:marRight w:val="0"/>
                                      <w:marTop w:val="0"/>
                                      <w:marBottom w:val="0"/>
                                      <w:divBdr>
                                        <w:top w:val="none" w:sz="0" w:space="0" w:color="auto"/>
                                        <w:left w:val="none" w:sz="0" w:space="0" w:color="auto"/>
                                        <w:bottom w:val="none" w:sz="0" w:space="0" w:color="auto"/>
                                        <w:right w:val="none" w:sz="0" w:space="0" w:color="auto"/>
                                      </w:divBdr>
                                      <w:divsChild>
                                        <w:div w:id="406658621">
                                          <w:marLeft w:val="0"/>
                                          <w:marRight w:val="0"/>
                                          <w:marTop w:val="0"/>
                                          <w:marBottom w:val="0"/>
                                          <w:divBdr>
                                            <w:top w:val="none" w:sz="0" w:space="0" w:color="auto"/>
                                            <w:left w:val="none" w:sz="0" w:space="0" w:color="auto"/>
                                            <w:bottom w:val="none" w:sz="0" w:space="0" w:color="auto"/>
                                            <w:right w:val="none" w:sz="0" w:space="0" w:color="auto"/>
                                          </w:divBdr>
                                          <w:divsChild>
                                            <w:div w:id="899482651">
                                              <w:marLeft w:val="0"/>
                                              <w:marRight w:val="0"/>
                                              <w:marTop w:val="0"/>
                                              <w:marBottom w:val="0"/>
                                              <w:divBdr>
                                                <w:top w:val="none" w:sz="0" w:space="0" w:color="auto"/>
                                                <w:left w:val="none" w:sz="0" w:space="0" w:color="auto"/>
                                                <w:bottom w:val="none" w:sz="0" w:space="0" w:color="auto"/>
                                                <w:right w:val="none" w:sz="0" w:space="0" w:color="auto"/>
                                              </w:divBdr>
                                              <w:divsChild>
                                                <w:div w:id="1976715337">
                                                  <w:marLeft w:val="0"/>
                                                  <w:marRight w:val="0"/>
                                                  <w:marTop w:val="0"/>
                                                  <w:marBottom w:val="0"/>
                                                  <w:divBdr>
                                                    <w:top w:val="none" w:sz="0" w:space="0" w:color="auto"/>
                                                    <w:left w:val="none" w:sz="0" w:space="0" w:color="auto"/>
                                                    <w:bottom w:val="none" w:sz="0" w:space="0" w:color="auto"/>
                                                    <w:right w:val="none" w:sz="0" w:space="0" w:color="auto"/>
                                                  </w:divBdr>
                                                  <w:divsChild>
                                                    <w:div w:id="1998803807">
                                                      <w:marLeft w:val="0"/>
                                                      <w:marRight w:val="0"/>
                                                      <w:marTop w:val="0"/>
                                                      <w:marBottom w:val="0"/>
                                                      <w:divBdr>
                                                        <w:top w:val="none" w:sz="0" w:space="0" w:color="auto"/>
                                                        <w:left w:val="none" w:sz="0" w:space="0" w:color="auto"/>
                                                        <w:bottom w:val="none" w:sz="0" w:space="0" w:color="auto"/>
                                                        <w:right w:val="none" w:sz="0" w:space="0" w:color="auto"/>
                                                      </w:divBdr>
                                                      <w:divsChild>
                                                        <w:div w:id="2007393984">
                                                          <w:marLeft w:val="0"/>
                                                          <w:marRight w:val="0"/>
                                                          <w:marTop w:val="0"/>
                                                          <w:marBottom w:val="0"/>
                                                          <w:divBdr>
                                                            <w:top w:val="none" w:sz="0" w:space="0" w:color="auto"/>
                                                            <w:left w:val="none" w:sz="0" w:space="0" w:color="auto"/>
                                                            <w:bottom w:val="none" w:sz="0" w:space="0" w:color="auto"/>
                                                            <w:right w:val="none" w:sz="0" w:space="0" w:color="auto"/>
                                                          </w:divBdr>
                                                          <w:divsChild>
                                                            <w:div w:id="305400549">
                                                              <w:marLeft w:val="0"/>
                                                              <w:marRight w:val="0"/>
                                                              <w:marTop w:val="0"/>
                                                              <w:marBottom w:val="0"/>
                                                              <w:divBdr>
                                                                <w:top w:val="none" w:sz="0" w:space="0" w:color="auto"/>
                                                                <w:left w:val="none" w:sz="0" w:space="0" w:color="auto"/>
                                                                <w:bottom w:val="none" w:sz="0" w:space="0" w:color="auto"/>
                                                                <w:right w:val="none" w:sz="0" w:space="0" w:color="auto"/>
                                                              </w:divBdr>
                                                              <w:divsChild>
                                                                <w:div w:id="144392914">
                                                                  <w:marLeft w:val="0"/>
                                                                  <w:marRight w:val="0"/>
                                                                  <w:marTop w:val="0"/>
                                                                  <w:marBottom w:val="0"/>
                                                                  <w:divBdr>
                                                                    <w:top w:val="none" w:sz="0" w:space="0" w:color="auto"/>
                                                                    <w:left w:val="none" w:sz="0" w:space="0" w:color="auto"/>
                                                                    <w:bottom w:val="none" w:sz="0" w:space="0" w:color="auto"/>
                                                                    <w:right w:val="none" w:sz="0" w:space="0" w:color="auto"/>
                                                                  </w:divBdr>
                                                                  <w:divsChild>
                                                                    <w:div w:id="1650134417">
                                                                      <w:marLeft w:val="405"/>
                                                                      <w:marRight w:val="0"/>
                                                                      <w:marTop w:val="0"/>
                                                                      <w:marBottom w:val="0"/>
                                                                      <w:divBdr>
                                                                        <w:top w:val="none" w:sz="0" w:space="0" w:color="auto"/>
                                                                        <w:left w:val="none" w:sz="0" w:space="0" w:color="auto"/>
                                                                        <w:bottom w:val="none" w:sz="0" w:space="0" w:color="auto"/>
                                                                        <w:right w:val="none" w:sz="0" w:space="0" w:color="auto"/>
                                                                      </w:divBdr>
                                                                      <w:divsChild>
                                                                        <w:div w:id="1410276039">
                                                                          <w:marLeft w:val="0"/>
                                                                          <w:marRight w:val="0"/>
                                                                          <w:marTop w:val="0"/>
                                                                          <w:marBottom w:val="0"/>
                                                                          <w:divBdr>
                                                                            <w:top w:val="none" w:sz="0" w:space="0" w:color="auto"/>
                                                                            <w:left w:val="none" w:sz="0" w:space="0" w:color="auto"/>
                                                                            <w:bottom w:val="none" w:sz="0" w:space="0" w:color="auto"/>
                                                                            <w:right w:val="none" w:sz="0" w:space="0" w:color="auto"/>
                                                                          </w:divBdr>
                                                                          <w:divsChild>
                                                                            <w:div w:id="151528396">
                                                                              <w:marLeft w:val="0"/>
                                                                              <w:marRight w:val="0"/>
                                                                              <w:marTop w:val="0"/>
                                                                              <w:marBottom w:val="0"/>
                                                                              <w:divBdr>
                                                                                <w:top w:val="none" w:sz="0" w:space="0" w:color="auto"/>
                                                                                <w:left w:val="none" w:sz="0" w:space="0" w:color="auto"/>
                                                                                <w:bottom w:val="none" w:sz="0" w:space="0" w:color="auto"/>
                                                                                <w:right w:val="none" w:sz="0" w:space="0" w:color="auto"/>
                                                                              </w:divBdr>
                                                                              <w:divsChild>
                                                                                <w:div w:id="1597250645">
                                                                                  <w:marLeft w:val="0"/>
                                                                                  <w:marRight w:val="0"/>
                                                                                  <w:marTop w:val="60"/>
                                                                                  <w:marBottom w:val="0"/>
                                                                                  <w:divBdr>
                                                                                    <w:top w:val="none" w:sz="0" w:space="0" w:color="auto"/>
                                                                                    <w:left w:val="none" w:sz="0" w:space="0" w:color="auto"/>
                                                                                    <w:bottom w:val="none" w:sz="0" w:space="0" w:color="auto"/>
                                                                                    <w:right w:val="none" w:sz="0" w:space="0" w:color="auto"/>
                                                                                  </w:divBdr>
                                                                                  <w:divsChild>
                                                                                    <w:div w:id="364058928">
                                                                                      <w:marLeft w:val="0"/>
                                                                                      <w:marRight w:val="0"/>
                                                                                      <w:marTop w:val="0"/>
                                                                                      <w:marBottom w:val="0"/>
                                                                                      <w:divBdr>
                                                                                        <w:top w:val="none" w:sz="0" w:space="0" w:color="auto"/>
                                                                                        <w:left w:val="none" w:sz="0" w:space="0" w:color="auto"/>
                                                                                        <w:bottom w:val="none" w:sz="0" w:space="0" w:color="auto"/>
                                                                                        <w:right w:val="none" w:sz="0" w:space="0" w:color="auto"/>
                                                                                      </w:divBdr>
                                                                                      <w:divsChild>
                                                                                        <w:div w:id="583153255">
                                                                                          <w:marLeft w:val="0"/>
                                                                                          <w:marRight w:val="0"/>
                                                                                          <w:marTop w:val="0"/>
                                                                                          <w:marBottom w:val="0"/>
                                                                                          <w:divBdr>
                                                                                            <w:top w:val="none" w:sz="0" w:space="0" w:color="auto"/>
                                                                                            <w:left w:val="none" w:sz="0" w:space="0" w:color="auto"/>
                                                                                            <w:bottom w:val="none" w:sz="0" w:space="0" w:color="auto"/>
                                                                                            <w:right w:val="none" w:sz="0" w:space="0" w:color="auto"/>
                                                                                          </w:divBdr>
                                                                                          <w:divsChild>
                                                                                            <w:div w:id="792210986">
                                                                                              <w:marLeft w:val="0"/>
                                                                                              <w:marRight w:val="0"/>
                                                                                              <w:marTop w:val="0"/>
                                                                                              <w:marBottom w:val="0"/>
                                                                                              <w:divBdr>
                                                                                                <w:top w:val="none" w:sz="0" w:space="0" w:color="auto"/>
                                                                                                <w:left w:val="none" w:sz="0" w:space="0" w:color="auto"/>
                                                                                                <w:bottom w:val="none" w:sz="0" w:space="0" w:color="auto"/>
                                                                                                <w:right w:val="none" w:sz="0" w:space="0" w:color="auto"/>
                                                                                              </w:divBdr>
                                                                                              <w:divsChild>
                                                                                                <w:div w:id="314339140">
                                                                                                  <w:marLeft w:val="0"/>
                                                                                                  <w:marRight w:val="0"/>
                                                                                                  <w:marTop w:val="0"/>
                                                                                                  <w:marBottom w:val="0"/>
                                                                                                  <w:divBdr>
                                                                                                    <w:top w:val="none" w:sz="0" w:space="0" w:color="auto"/>
                                                                                                    <w:left w:val="none" w:sz="0" w:space="0" w:color="auto"/>
                                                                                                    <w:bottom w:val="none" w:sz="0" w:space="0" w:color="auto"/>
                                                                                                    <w:right w:val="none" w:sz="0" w:space="0" w:color="auto"/>
                                                                                                  </w:divBdr>
                                                                                                  <w:divsChild>
                                                                                                    <w:div w:id="905644927">
                                                                                                      <w:marLeft w:val="0"/>
                                                                                                      <w:marRight w:val="0"/>
                                                                                                      <w:marTop w:val="0"/>
                                                                                                      <w:marBottom w:val="0"/>
                                                                                                      <w:divBdr>
                                                                                                        <w:top w:val="none" w:sz="0" w:space="0" w:color="auto"/>
                                                                                                        <w:left w:val="none" w:sz="0" w:space="0" w:color="auto"/>
                                                                                                        <w:bottom w:val="none" w:sz="0" w:space="0" w:color="auto"/>
                                                                                                        <w:right w:val="none" w:sz="0" w:space="0" w:color="auto"/>
                                                                                                      </w:divBdr>
                                                                                                      <w:divsChild>
                                                                                                        <w:div w:id="1086222976">
                                                                                                          <w:marLeft w:val="0"/>
                                                                                                          <w:marRight w:val="0"/>
                                                                                                          <w:marTop w:val="0"/>
                                                                                                          <w:marBottom w:val="0"/>
                                                                                                          <w:divBdr>
                                                                                                            <w:top w:val="none" w:sz="0" w:space="0" w:color="auto"/>
                                                                                                            <w:left w:val="none" w:sz="0" w:space="0" w:color="auto"/>
                                                                                                            <w:bottom w:val="none" w:sz="0" w:space="0" w:color="auto"/>
                                                                                                            <w:right w:val="none" w:sz="0" w:space="0" w:color="auto"/>
                                                                                                          </w:divBdr>
                                                                                                          <w:divsChild>
                                                                                                            <w:div w:id="560361732">
                                                                                                              <w:marLeft w:val="0"/>
                                                                                                              <w:marRight w:val="0"/>
                                                                                                              <w:marTop w:val="0"/>
                                                                                                              <w:marBottom w:val="0"/>
                                                                                                              <w:divBdr>
                                                                                                                <w:top w:val="none" w:sz="0" w:space="0" w:color="auto"/>
                                                                                                                <w:left w:val="none" w:sz="0" w:space="0" w:color="auto"/>
                                                                                                                <w:bottom w:val="none" w:sz="0" w:space="0" w:color="auto"/>
                                                                                                                <w:right w:val="none" w:sz="0" w:space="0" w:color="auto"/>
                                                                                                              </w:divBdr>
                                                                                                              <w:divsChild>
                                                                                                                <w:div w:id="24977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046203">
      <w:bodyDiv w:val="1"/>
      <w:marLeft w:val="0"/>
      <w:marRight w:val="0"/>
      <w:marTop w:val="0"/>
      <w:marBottom w:val="0"/>
      <w:divBdr>
        <w:top w:val="none" w:sz="0" w:space="0" w:color="auto"/>
        <w:left w:val="none" w:sz="0" w:space="0" w:color="auto"/>
        <w:bottom w:val="none" w:sz="0" w:space="0" w:color="auto"/>
        <w:right w:val="none" w:sz="0" w:space="0" w:color="auto"/>
      </w:divBdr>
    </w:div>
    <w:div w:id="1313826402">
      <w:bodyDiv w:val="1"/>
      <w:marLeft w:val="0"/>
      <w:marRight w:val="0"/>
      <w:marTop w:val="0"/>
      <w:marBottom w:val="0"/>
      <w:divBdr>
        <w:top w:val="none" w:sz="0" w:space="0" w:color="auto"/>
        <w:left w:val="none" w:sz="0" w:space="0" w:color="auto"/>
        <w:bottom w:val="none" w:sz="0" w:space="0" w:color="auto"/>
        <w:right w:val="none" w:sz="0" w:space="0" w:color="auto"/>
      </w:divBdr>
    </w:div>
    <w:div w:id="1364818129">
      <w:bodyDiv w:val="1"/>
      <w:marLeft w:val="0"/>
      <w:marRight w:val="0"/>
      <w:marTop w:val="0"/>
      <w:marBottom w:val="0"/>
      <w:divBdr>
        <w:top w:val="none" w:sz="0" w:space="0" w:color="auto"/>
        <w:left w:val="none" w:sz="0" w:space="0" w:color="auto"/>
        <w:bottom w:val="none" w:sz="0" w:space="0" w:color="auto"/>
        <w:right w:val="none" w:sz="0" w:space="0" w:color="auto"/>
      </w:divBdr>
    </w:div>
    <w:div w:id="1550415844">
      <w:bodyDiv w:val="1"/>
      <w:marLeft w:val="0"/>
      <w:marRight w:val="0"/>
      <w:marTop w:val="0"/>
      <w:marBottom w:val="0"/>
      <w:divBdr>
        <w:top w:val="none" w:sz="0" w:space="0" w:color="auto"/>
        <w:left w:val="none" w:sz="0" w:space="0" w:color="auto"/>
        <w:bottom w:val="none" w:sz="0" w:space="0" w:color="auto"/>
        <w:right w:val="none" w:sz="0" w:space="0" w:color="auto"/>
      </w:divBdr>
    </w:div>
    <w:div w:id="1604342617">
      <w:bodyDiv w:val="1"/>
      <w:marLeft w:val="0"/>
      <w:marRight w:val="0"/>
      <w:marTop w:val="0"/>
      <w:marBottom w:val="0"/>
      <w:divBdr>
        <w:top w:val="none" w:sz="0" w:space="0" w:color="auto"/>
        <w:left w:val="none" w:sz="0" w:space="0" w:color="auto"/>
        <w:bottom w:val="none" w:sz="0" w:space="0" w:color="auto"/>
        <w:right w:val="none" w:sz="0" w:space="0" w:color="auto"/>
      </w:divBdr>
    </w:div>
    <w:div w:id="1671904989">
      <w:bodyDiv w:val="1"/>
      <w:marLeft w:val="0"/>
      <w:marRight w:val="0"/>
      <w:marTop w:val="0"/>
      <w:marBottom w:val="0"/>
      <w:divBdr>
        <w:top w:val="none" w:sz="0" w:space="0" w:color="auto"/>
        <w:left w:val="none" w:sz="0" w:space="0" w:color="auto"/>
        <w:bottom w:val="none" w:sz="0" w:space="0" w:color="auto"/>
        <w:right w:val="none" w:sz="0" w:space="0" w:color="auto"/>
      </w:divBdr>
    </w:div>
    <w:div w:id="1815216444">
      <w:bodyDiv w:val="1"/>
      <w:marLeft w:val="0"/>
      <w:marRight w:val="0"/>
      <w:marTop w:val="0"/>
      <w:marBottom w:val="0"/>
      <w:divBdr>
        <w:top w:val="none" w:sz="0" w:space="0" w:color="auto"/>
        <w:left w:val="none" w:sz="0" w:space="0" w:color="auto"/>
        <w:bottom w:val="none" w:sz="0" w:space="0" w:color="auto"/>
        <w:right w:val="none" w:sz="0" w:space="0" w:color="auto"/>
      </w:divBdr>
    </w:div>
    <w:div w:id="1818299763">
      <w:bodyDiv w:val="1"/>
      <w:marLeft w:val="0"/>
      <w:marRight w:val="0"/>
      <w:marTop w:val="0"/>
      <w:marBottom w:val="0"/>
      <w:divBdr>
        <w:top w:val="none" w:sz="0" w:space="0" w:color="auto"/>
        <w:left w:val="none" w:sz="0" w:space="0" w:color="auto"/>
        <w:bottom w:val="none" w:sz="0" w:space="0" w:color="auto"/>
        <w:right w:val="none" w:sz="0" w:space="0" w:color="auto"/>
      </w:divBdr>
    </w:div>
    <w:div w:id="1841192368">
      <w:bodyDiv w:val="1"/>
      <w:marLeft w:val="0"/>
      <w:marRight w:val="0"/>
      <w:marTop w:val="0"/>
      <w:marBottom w:val="0"/>
      <w:divBdr>
        <w:top w:val="none" w:sz="0" w:space="0" w:color="auto"/>
        <w:left w:val="none" w:sz="0" w:space="0" w:color="auto"/>
        <w:bottom w:val="none" w:sz="0" w:space="0" w:color="auto"/>
        <w:right w:val="none" w:sz="0" w:space="0" w:color="auto"/>
      </w:divBdr>
    </w:div>
    <w:div w:id="1859074744">
      <w:bodyDiv w:val="1"/>
      <w:marLeft w:val="0"/>
      <w:marRight w:val="0"/>
      <w:marTop w:val="0"/>
      <w:marBottom w:val="0"/>
      <w:divBdr>
        <w:top w:val="none" w:sz="0" w:space="0" w:color="auto"/>
        <w:left w:val="none" w:sz="0" w:space="0" w:color="auto"/>
        <w:bottom w:val="none" w:sz="0" w:space="0" w:color="auto"/>
        <w:right w:val="none" w:sz="0" w:space="0" w:color="auto"/>
      </w:divBdr>
    </w:div>
    <w:div w:id="1889369950">
      <w:bodyDiv w:val="1"/>
      <w:marLeft w:val="0"/>
      <w:marRight w:val="0"/>
      <w:marTop w:val="0"/>
      <w:marBottom w:val="0"/>
      <w:divBdr>
        <w:top w:val="none" w:sz="0" w:space="0" w:color="auto"/>
        <w:left w:val="none" w:sz="0" w:space="0" w:color="auto"/>
        <w:bottom w:val="none" w:sz="0" w:space="0" w:color="auto"/>
        <w:right w:val="none" w:sz="0" w:space="0" w:color="auto"/>
      </w:divBdr>
    </w:div>
    <w:div w:id="1922329780">
      <w:bodyDiv w:val="1"/>
      <w:marLeft w:val="0"/>
      <w:marRight w:val="0"/>
      <w:marTop w:val="0"/>
      <w:marBottom w:val="0"/>
      <w:divBdr>
        <w:top w:val="none" w:sz="0" w:space="0" w:color="auto"/>
        <w:left w:val="none" w:sz="0" w:space="0" w:color="auto"/>
        <w:bottom w:val="none" w:sz="0" w:space="0" w:color="auto"/>
        <w:right w:val="none" w:sz="0" w:space="0" w:color="auto"/>
      </w:divBdr>
    </w:div>
    <w:div w:id="1977222852">
      <w:bodyDiv w:val="1"/>
      <w:marLeft w:val="0"/>
      <w:marRight w:val="0"/>
      <w:marTop w:val="0"/>
      <w:marBottom w:val="0"/>
      <w:divBdr>
        <w:top w:val="none" w:sz="0" w:space="0" w:color="auto"/>
        <w:left w:val="none" w:sz="0" w:space="0" w:color="auto"/>
        <w:bottom w:val="none" w:sz="0" w:space="0" w:color="auto"/>
        <w:right w:val="none" w:sz="0" w:space="0" w:color="auto"/>
      </w:divBdr>
    </w:div>
    <w:div w:id="209447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EE847-6989-4B53-A211-F8F4C4AE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Pages>
  <Words>1459</Words>
  <Characters>8319</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mfkor</dc:creator>
  <cp:lastModifiedBy>Ana Bakiš</cp:lastModifiedBy>
  <cp:revision>24</cp:revision>
  <cp:lastPrinted>2026-04-29T13:23:00Z</cp:lastPrinted>
  <dcterms:created xsi:type="dcterms:W3CDTF">2026-03-12T08:59:00Z</dcterms:created>
  <dcterms:modified xsi:type="dcterms:W3CDTF">2026-04-30T10:07:00Z</dcterms:modified>
</cp:coreProperties>
</file>